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C34D" w14:textId="3CAC1ED2" w:rsidR="00931E1F" w:rsidRPr="00CA0257" w:rsidRDefault="00A00322" w:rsidP="00CA0257">
      <w:pPr>
        <w:pStyle w:val="Title"/>
      </w:pPr>
      <w:r w:rsidRPr="00CA0257">
        <w:t>The Role of the Digital Economy in Indonesia’s Economic Growth: Opportunities, Challenges, and Socio-Economic Impacts</w:t>
      </w:r>
    </w:p>
    <w:p w14:paraId="0DA36DAF" w14:textId="7FD860E0" w:rsidR="006A14CA" w:rsidRPr="00B67450" w:rsidRDefault="00B67450" w:rsidP="00B67450">
      <w:pPr>
        <w:spacing w:line="276" w:lineRule="auto"/>
        <w:ind w:firstLine="0"/>
        <w:jc w:val="left"/>
        <w:rPr>
          <w:rFonts w:ascii="Garamond" w:hAnsi="Garamond"/>
          <w:b/>
        </w:rPr>
      </w:pPr>
      <w:r w:rsidRPr="00B67450">
        <w:rPr>
          <w:rFonts w:ascii="Garamond" w:hAnsi="Garamond"/>
          <w:b/>
          <w:sz w:val="24"/>
          <w:szCs w:val="20"/>
        </w:rPr>
        <w:t xml:space="preserve">Ahmad Dafa </w:t>
      </w:r>
      <w:proofErr w:type="spellStart"/>
      <w:r w:rsidRPr="00B67450">
        <w:rPr>
          <w:rFonts w:ascii="Garamond" w:hAnsi="Garamond"/>
          <w:b/>
          <w:sz w:val="24"/>
          <w:szCs w:val="20"/>
        </w:rPr>
        <w:t>Bahits</w:t>
      </w:r>
      <w:proofErr w:type="spellEnd"/>
      <w:r w:rsidRPr="00B67450">
        <w:rPr>
          <w:rFonts w:ascii="Garamond" w:hAnsi="Garamond"/>
          <w:b/>
          <w:sz w:val="24"/>
          <w:szCs w:val="20"/>
        </w:rPr>
        <w:t xml:space="preserve"> Rizqulloh</w:t>
      </w:r>
      <w:r w:rsidR="00931E1F" w:rsidRPr="00B67450">
        <w:rPr>
          <w:rFonts w:ascii="Garamond" w:hAnsi="Garamond"/>
          <w:b/>
          <w:sz w:val="24"/>
          <w:szCs w:val="20"/>
          <w:vertAlign w:val="superscript"/>
        </w:rPr>
        <w:t>1</w:t>
      </w:r>
    </w:p>
    <w:p w14:paraId="1C84F027" w14:textId="77777777" w:rsidR="00D81421" w:rsidRPr="00B67450" w:rsidRDefault="00D81421" w:rsidP="00224D87">
      <w:pPr>
        <w:spacing w:line="276" w:lineRule="auto"/>
        <w:rPr>
          <w:rFonts w:ascii="Garamond" w:hAnsi="Garamond"/>
          <w:b/>
          <w:bCs/>
        </w:rPr>
      </w:pPr>
    </w:p>
    <w:tbl>
      <w:tblPr>
        <w:tblStyle w:val="TableGrid"/>
        <w:tblW w:w="4955" w:type="pct"/>
        <w:tblLook w:val="04A0" w:firstRow="1" w:lastRow="0" w:firstColumn="1" w:lastColumn="0" w:noHBand="0" w:noVBand="1"/>
      </w:tblPr>
      <w:tblGrid>
        <w:gridCol w:w="3154"/>
        <w:gridCol w:w="222"/>
        <w:gridCol w:w="5570"/>
      </w:tblGrid>
      <w:tr w:rsidR="008D6F4C" w:rsidRPr="00D7729F" w14:paraId="575E8D82" w14:textId="77777777" w:rsidTr="00202062">
        <w:tc>
          <w:tcPr>
            <w:tcW w:w="5000" w:type="pct"/>
            <w:gridSpan w:val="3"/>
            <w:tcBorders>
              <w:top w:val="nil"/>
              <w:left w:val="nil"/>
              <w:bottom w:val="single" w:sz="4" w:space="0" w:color="auto"/>
              <w:right w:val="nil"/>
            </w:tcBorders>
          </w:tcPr>
          <w:p w14:paraId="61FA6F38" w14:textId="0998B736" w:rsidR="00931E1F" w:rsidRPr="00B67450" w:rsidRDefault="00931E1F" w:rsidP="00B67450">
            <w:pPr>
              <w:pStyle w:val="Subtitle"/>
              <w:ind w:firstLine="0"/>
              <w:rPr>
                <w:rFonts w:ascii="Garamond" w:hAnsi="Garamond"/>
              </w:rPr>
            </w:pPr>
            <w:r w:rsidRPr="00B67450">
              <w:rPr>
                <w:rFonts w:ascii="Garamond" w:hAnsi="Garamond"/>
                <w:vertAlign w:val="superscript"/>
              </w:rPr>
              <w:t xml:space="preserve">1 </w:t>
            </w:r>
            <w:r w:rsidR="00B67450" w:rsidRPr="00B67450">
              <w:rPr>
                <w:rFonts w:ascii="Garamond" w:hAnsi="Garamond"/>
              </w:rPr>
              <w:t xml:space="preserve">Universitas </w:t>
            </w:r>
            <w:proofErr w:type="spellStart"/>
            <w:r w:rsidR="00B67450" w:rsidRPr="00B67450">
              <w:rPr>
                <w:rFonts w:ascii="Garamond" w:hAnsi="Garamond"/>
              </w:rPr>
              <w:t>Diponegoro</w:t>
            </w:r>
            <w:proofErr w:type="spellEnd"/>
            <w:r w:rsidR="00B67450" w:rsidRPr="00B67450">
              <w:rPr>
                <w:rFonts w:ascii="Garamond" w:hAnsi="Garamond"/>
              </w:rPr>
              <w:t>, Semarang, Indonesia</w:t>
            </w:r>
          </w:p>
          <w:p w14:paraId="3588ACEB" w14:textId="2B096F68" w:rsidR="006A14CA" w:rsidRPr="00B67450" w:rsidRDefault="006A14CA" w:rsidP="00931E1F">
            <w:pPr>
              <w:pStyle w:val="Subtitle"/>
              <w:spacing w:after="240"/>
              <w:ind w:firstLine="0"/>
              <w:rPr>
                <w:rFonts w:ascii="Garamond" w:hAnsi="Garamond"/>
              </w:rPr>
            </w:pPr>
          </w:p>
        </w:tc>
      </w:tr>
      <w:tr w:rsidR="008D6F4C" w:rsidRPr="00D7729F" w14:paraId="620B6E77" w14:textId="77777777" w:rsidTr="00202062">
        <w:tc>
          <w:tcPr>
            <w:tcW w:w="1675" w:type="pct"/>
            <w:tcBorders>
              <w:left w:val="nil"/>
              <w:bottom w:val="single" w:sz="4" w:space="0" w:color="auto"/>
              <w:right w:val="nil"/>
            </w:tcBorders>
          </w:tcPr>
          <w:p w14:paraId="6167A1C5" w14:textId="06CEB6A9" w:rsidR="008D6F4C" w:rsidRPr="00D7729F" w:rsidRDefault="008D6F4C" w:rsidP="00224D87">
            <w:pPr>
              <w:spacing w:line="276" w:lineRule="auto"/>
              <w:ind w:firstLine="0"/>
              <w:rPr>
                <w:rFonts w:ascii="Garamond" w:hAnsi="Garamond"/>
                <w:b/>
                <w:bCs/>
              </w:rPr>
            </w:pPr>
            <w:r w:rsidRPr="001607AD">
              <w:rPr>
                <w:rFonts w:ascii="Garamond" w:hAnsi="Garamond"/>
                <w:b/>
                <w:bCs/>
                <w:color w:val="000099"/>
              </w:rPr>
              <w:t>Abstract</w:t>
            </w:r>
          </w:p>
        </w:tc>
        <w:tc>
          <w:tcPr>
            <w:tcW w:w="132" w:type="pct"/>
            <w:tcBorders>
              <w:left w:val="nil"/>
              <w:bottom w:val="nil"/>
              <w:right w:val="nil"/>
            </w:tcBorders>
          </w:tcPr>
          <w:p w14:paraId="5DBADDE9" w14:textId="77777777" w:rsidR="008D6F4C" w:rsidRPr="00D7729F" w:rsidRDefault="008D6F4C" w:rsidP="00224D87">
            <w:pPr>
              <w:spacing w:line="276" w:lineRule="auto"/>
              <w:ind w:firstLine="0"/>
              <w:rPr>
                <w:rFonts w:ascii="Garamond" w:hAnsi="Garamond"/>
                <w:b/>
                <w:bCs/>
              </w:rPr>
            </w:pPr>
          </w:p>
        </w:tc>
        <w:tc>
          <w:tcPr>
            <w:tcW w:w="3193" w:type="pct"/>
            <w:tcBorders>
              <w:left w:val="nil"/>
              <w:bottom w:val="single" w:sz="4" w:space="0" w:color="auto"/>
              <w:right w:val="nil"/>
            </w:tcBorders>
          </w:tcPr>
          <w:p w14:paraId="5FB5F1D5" w14:textId="38A99B62" w:rsidR="008D6F4C" w:rsidRPr="00D7729F" w:rsidRDefault="008D6F4C" w:rsidP="00224D87">
            <w:pPr>
              <w:spacing w:line="276" w:lineRule="auto"/>
              <w:ind w:firstLine="0"/>
              <w:rPr>
                <w:rFonts w:ascii="Garamond" w:hAnsi="Garamond"/>
                <w:b/>
                <w:bCs/>
              </w:rPr>
            </w:pPr>
          </w:p>
        </w:tc>
      </w:tr>
      <w:tr w:rsidR="008636C3" w:rsidRPr="00D7729F" w14:paraId="582BB349" w14:textId="77777777" w:rsidTr="00202062">
        <w:tc>
          <w:tcPr>
            <w:tcW w:w="1675" w:type="pct"/>
            <w:tcBorders>
              <w:left w:val="nil"/>
              <w:bottom w:val="single" w:sz="4" w:space="0" w:color="auto"/>
              <w:right w:val="nil"/>
            </w:tcBorders>
          </w:tcPr>
          <w:p w14:paraId="5640E8E1" w14:textId="77777777" w:rsidR="008636C3" w:rsidRPr="001607AD" w:rsidRDefault="008636C3" w:rsidP="009C3EFC">
            <w:pPr>
              <w:pStyle w:val="Subtitle"/>
              <w:ind w:firstLine="0"/>
              <w:rPr>
                <w:rFonts w:ascii="Garamond" w:hAnsi="Garamond"/>
                <w:b/>
                <w:bCs/>
                <w:color w:val="000099"/>
                <w:sz w:val="20"/>
                <w:szCs w:val="20"/>
              </w:rPr>
            </w:pPr>
            <w:r w:rsidRPr="001607AD">
              <w:rPr>
                <w:rFonts w:ascii="Garamond" w:hAnsi="Garamond"/>
                <w:b/>
                <w:bCs/>
                <w:color w:val="000099"/>
                <w:sz w:val="20"/>
                <w:szCs w:val="20"/>
              </w:rPr>
              <w:t>Article history:</w:t>
            </w:r>
          </w:p>
          <w:p w14:paraId="54C79083" w14:textId="14051041" w:rsidR="00A621B6" w:rsidRPr="00A621B6" w:rsidRDefault="00A621B6" w:rsidP="00A621B6">
            <w:pPr>
              <w:spacing w:line="240" w:lineRule="auto"/>
              <w:ind w:firstLine="0"/>
              <w:rPr>
                <w:rFonts w:ascii="Garamond" w:eastAsia="Garamond" w:hAnsi="Garamond" w:cs="Garamond"/>
                <w:sz w:val="20"/>
                <w:szCs w:val="20"/>
                <w14:ligatures w14:val="none"/>
              </w:rPr>
            </w:pPr>
            <w:r>
              <w:rPr>
                <w:rFonts w:ascii="Garamond" w:eastAsia="Garamond" w:hAnsi="Garamond" w:cs="Garamond"/>
                <w:sz w:val="20"/>
                <w:szCs w:val="20"/>
                <w14:ligatures w14:val="none"/>
              </w:rPr>
              <w:t>Received: July 10</w:t>
            </w:r>
            <w:r w:rsidRPr="00A621B6">
              <w:rPr>
                <w:rFonts w:ascii="Garamond" w:eastAsia="Garamond" w:hAnsi="Garamond" w:cs="Garamond"/>
                <w:sz w:val="20"/>
                <w:szCs w:val="20"/>
                <w14:ligatures w14:val="none"/>
              </w:rPr>
              <w:t>, 202</w:t>
            </w:r>
            <w:r w:rsidR="001E6071">
              <w:rPr>
                <w:rFonts w:ascii="Garamond" w:eastAsia="Garamond" w:hAnsi="Garamond" w:cs="Garamond"/>
                <w:sz w:val="20"/>
                <w:szCs w:val="20"/>
                <w14:ligatures w14:val="none"/>
              </w:rPr>
              <w:t>3</w:t>
            </w:r>
          </w:p>
          <w:p w14:paraId="06FFC85C" w14:textId="2CC3D5A6" w:rsidR="00A621B6" w:rsidRPr="00A621B6" w:rsidRDefault="00A621B6" w:rsidP="00A621B6">
            <w:pPr>
              <w:spacing w:line="240" w:lineRule="auto"/>
              <w:ind w:firstLine="0"/>
              <w:rPr>
                <w:rFonts w:ascii="Garamond" w:eastAsia="Garamond" w:hAnsi="Garamond" w:cs="Garamond"/>
                <w:sz w:val="20"/>
                <w:szCs w:val="20"/>
                <w14:ligatures w14:val="none"/>
              </w:rPr>
            </w:pPr>
            <w:r>
              <w:rPr>
                <w:rFonts w:ascii="Garamond" w:eastAsia="Garamond" w:hAnsi="Garamond" w:cs="Garamond"/>
                <w:sz w:val="20"/>
                <w:szCs w:val="20"/>
                <w14:ligatures w14:val="none"/>
              </w:rPr>
              <w:t>Revised: August 16</w:t>
            </w:r>
            <w:r w:rsidRPr="00A621B6">
              <w:rPr>
                <w:rFonts w:ascii="Garamond" w:eastAsia="Garamond" w:hAnsi="Garamond" w:cs="Garamond"/>
                <w:sz w:val="20"/>
                <w:szCs w:val="20"/>
                <w14:ligatures w14:val="none"/>
              </w:rPr>
              <w:t>, 20</w:t>
            </w:r>
            <w:r>
              <w:rPr>
                <w:rFonts w:ascii="Garamond" w:eastAsia="Garamond" w:hAnsi="Garamond" w:cs="Garamond"/>
                <w:sz w:val="20"/>
                <w:szCs w:val="20"/>
                <w14:ligatures w14:val="none"/>
              </w:rPr>
              <w:t>2</w:t>
            </w:r>
            <w:r w:rsidR="001E6071">
              <w:rPr>
                <w:rFonts w:ascii="Garamond" w:eastAsia="Garamond" w:hAnsi="Garamond" w:cs="Garamond"/>
                <w:sz w:val="20"/>
                <w:szCs w:val="20"/>
                <w14:ligatures w14:val="none"/>
              </w:rPr>
              <w:t>3</w:t>
            </w:r>
          </w:p>
          <w:p w14:paraId="1DB631F0" w14:textId="33BA0AE5" w:rsidR="00A621B6" w:rsidRPr="00A621B6" w:rsidRDefault="00A621B6" w:rsidP="00A621B6">
            <w:pPr>
              <w:spacing w:line="240" w:lineRule="auto"/>
              <w:ind w:firstLine="0"/>
              <w:rPr>
                <w:rFonts w:ascii="Garamond" w:eastAsia="Garamond" w:hAnsi="Garamond" w:cs="Garamond"/>
                <w:sz w:val="20"/>
                <w:szCs w:val="20"/>
                <w14:ligatures w14:val="none"/>
              </w:rPr>
            </w:pPr>
            <w:r>
              <w:rPr>
                <w:rFonts w:ascii="Garamond" w:eastAsia="Garamond" w:hAnsi="Garamond" w:cs="Garamond"/>
                <w:sz w:val="20"/>
                <w:szCs w:val="20"/>
                <w14:ligatures w14:val="none"/>
              </w:rPr>
              <w:t>Accepted: September 13</w:t>
            </w:r>
            <w:r w:rsidRPr="00A621B6">
              <w:rPr>
                <w:rFonts w:ascii="Garamond" w:eastAsia="Garamond" w:hAnsi="Garamond" w:cs="Garamond"/>
                <w:sz w:val="20"/>
                <w:szCs w:val="20"/>
                <w14:ligatures w14:val="none"/>
              </w:rPr>
              <w:t>, 202</w:t>
            </w:r>
            <w:r w:rsidR="001E6071">
              <w:rPr>
                <w:rFonts w:ascii="Garamond" w:eastAsia="Garamond" w:hAnsi="Garamond" w:cs="Garamond"/>
                <w:sz w:val="20"/>
                <w:szCs w:val="20"/>
                <w14:ligatures w14:val="none"/>
              </w:rPr>
              <w:t>3</w:t>
            </w:r>
          </w:p>
          <w:p w14:paraId="71A686B9" w14:textId="65771B10" w:rsidR="00A621B6" w:rsidRPr="00A621B6" w:rsidRDefault="00A621B6" w:rsidP="00A621B6">
            <w:pPr>
              <w:spacing w:line="240" w:lineRule="auto"/>
              <w:ind w:firstLine="0"/>
              <w:rPr>
                <w:rFonts w:ascii="Garamond" w:eastAsia="Garamond" w:hAnsi="Garamond" w:cs="Garamond"/>
                <w:sz w:val="20"/>
                <w:szCs w:val="20"/>
                <w14:ligatures w14:val="none"/>
              </w:rPr>
            </w:pPr>
            <w:r w:rsidRPr="00A621B6">
              <w:rPr>
                <w:rFonts w:ascii="Garamond" w:eastAsia="Garamond" w:hAnsi="Garamond" w:cs="Garamond"/>
                <w:sz w:val="20"/>
                <w:szCs w:val="20"/>
                <w14:ligatures w14:val="none"/>
              </w:rPr>
              <w:t>Published: December 30, 202</w:t>
            </w:r>
            <w:r w:rsidR="001E6071">
              <w:rPr>
                <w:rFonts w:ascii="Garamond" w:eastAsia="Garamond" w:hAnsi="Garamond" w:cs="Garamond"/>
                <w:sz w:val="20"/>
                <w:szCs w:val="20"/>
                <w14:ligatures w14:val="none"/>
              </w:rPr>
              <w:t>3</w:t>
            </w:r>
          </w:p>
          <w:p w14:paraId="6B99AF42" w14:textId="669EC7A3" w:rsidR="00931E1F" w:rsidRPr="00931E1F" w:rsidRDefault="00931E1F" w:rsidP="00A621B6">
            <w:pPr>
              <w:pStyle w:val="Subtitle"/>
              <w:ind w:firstLine="0"/>
            </w:pPr>
          </w:p>
        </w:tc>
        <w:tc>
          <w:tcPr>
            <w:tcW w:w="132" w:type="pct"/>
            <w:tcBorders>
              <w:top w:val="nil"/>
              <w:left w:val="nil"/>
              <w:bottom w:val="nil"/>
              <w:right w:val="nil"/>
            </w:tcBorders>
          </w:tcPr>
          <w:p w14:paraId="02B71C9E" w14:textId="77777777" w:rsidR="008636C3" w:rsidRPr="00D7729F" w:rsidRDefault="008636C3" w:rsidP="00224D87">
            <w:pPr>
              <w:spacing w:line="276" w:lineRule="auto"/>
              <w:ind w:firstLine="0"/>
              <w:rPr>
                <w:rFonts w:ascii="Garamond" w:hAnsi="Garamond"/>
                <w:sz w:val="22"/>
              </w:rPr>
            </w:pPr>
          </w:p>
        </w:tc>
        <w:tc>
          <w:tcPr>
            <w:tcW w:w="3193" w:type="pct"/>
            <w:vMerge w:val="restart"/>
            <w:tcBorders>
              <w:top w:val="single" w:sz="4" w:space="0" w:color="auto"/>
              <w:left w:val="nil"/>
              <w:bottom w:val="nil"/>
              <w:right w:val="nil"/>
            </w:tcBorders>
          </w:tcPr>
          <w:p w14:paraId="3DE7F57C" w14:textId="583AFF3E" w:rsidR="00F33097" w:rsidRDefault="00A00322" w:rsidP="00A621B6">
            <w:pPr>
              <w:pStyle w:val="Subtitle"/>
              <w:ind w:firstLine="0"/>
              <w:rPr>
                <w:rFonts w:ascii="Garamond" w:hAnsi="Garamond"/>
                <w:sz w:val="24"/>
                <w:szCs w:val="24"/>
              </w:rPr>
            </w:pPr>
            <w:r w:rsidRPr="00A00322">
              <w:rPr>
                <w:rFonts w:ascii="Garamond" w:hAnsi="Garamond"/>
                <w:sz w:val="24"/>
                <w:szCs w:val="24"/>
              </w:rPr>
              <w:t xml:space="preserve">This study examines the development of the digital economy in Indonesia and its contribution to national economic growth, with a focus on the e-commerce, fintech, digital banking, and SME transformation sectors. The research employs a descriptive-analytical method using </w:t>
            </w:r>
            <w:r w:rsidR="00A621B6">
              <w:rPr>
                <w:rFonts w:ascii="Garamond" w:hAnsi="Garamond"/>
                <w:sz w:val="24"/>
                <w:szCs w:val="24"/>
              </w:rPr>
              <w:t>data obtained from</w:t>
            </w:r>
            <w:r w:rsidR="00674299">
              <w:rPr>
                <w:rFonts w:ascii="Garamond" w:hAnsi="Garamond"/>
                <w:sz w:val="24"/>
                <w:szCs w:val="24"/>
              </w:rPr>
              <w:t xml:space="preserve"> </w:t>
            </w:r>
            <w:r w:rsidR="00674299" w:rsidRPr="00A00322">
              <w:rPr>
                <w:rFonts w:ascii="Garamond" w:hAnsi="Garamond"/>
              </w:rPr>
              <w:t>Central Statistics Agency</w:t>
            </w:r>
            <w:r w:rsidR="00A621B6">
              <w:rPr>
                <w:rFonts w:ascii="Garamond" w:hAnsi="Garamond"/>
                <w:sz w:val="24"/>
                <w:szCs w:val="24"/>
              </w:rPr>
              <w:t xml:space="preserve"> </w:t>
            </w:r>
            <w:r w:rsidR="00674299">
              <w:rPr>
                <w:rFonts w:ascii="Garamond" w:hAnsi="Garamond"/>
                <w:sz w:val="24"/>
                <w:szCs w:val="24"/>
              </w:rPr>
              <w:t>(</w:t>
            </w:r>
            <w:r w:rsidR="00A621B6">
              <w:rPr>
                <w:rFonts w:ascii="Garamond" w:hAnsi="Garamond"/>
                <w:sz w:val="24"/>
                <w:szCs w:val="24"/>
              </w:rPr>
              <w:t>BPS</w:t>
            </w:r>
            <w:r w:rsidR="00674299">
              <w:rPr>
                <w:rFonts w:ascii="Garamond" w:hAnsi="Garamond"/>
                <w:sz w:val="24"/>
                <w:szCs w:val="24"/>
              </w:rPr>
              <w:t>)</w:t>
            </w:r>
            <w:r w:rsidR="00A621B6">
              <w:rPr>
                <w:rFonts w:ascii="Garamond" w:hAnsi="Garamond"/>
                <w:sz w:val="24"/>
                <w:szCs w:val="24"/>
              </w:rPr>
              <w:t xml:space="preserve">, </w:t>
            </w:r>
            <w:r w:rsidRPr="00A00322">
              <w:rPr>
                <w:rFonts w:ascii="Garamond" w:hAnsi="Garamond"/>
                <w:sz w:val="24"/>
                <w:szCs w:val="24"/>
              </w:rPr>
              <w:t xml:space="preserve">international industry reports, and academic articles. The findings reveal that the digital economy has significantly contributed to Indonesia’s Gross Domestic Product (GDP), while also creating new opportunities for job creation, financial inclusion, and the enhancement of digital literacy. However, this development also poses challenges such as the digital divide, low digital literacy among some SMEs, data security risks, and shifts in consumer behavior. This analysis highlights the importance of synergy between government, private sector, and society to maximize the benefits of the digital economy while minimizing its negative impacts. The study’s findings are expected to provide theoretical contributions to the academic literature on the digital economy, as well as practical insights for policymaking and strategies to harness digitalization opportunities in Indonesia. </w:t>
            </w:r>
          </w:p>
          <w:p w14:paraId="01E563A0" w14:textId="43C799CA" w:rsidR="0002683C" w:rsidRPr="0002683C" w:rsidRDefault="0002683C" w:rsidP="0002683C"/>
        </w:tc>
      </w:tr>
      <w:tr w:rsidR="008636C3" w:rsidRPr="00D7729F" w14:paraId="146DA2A6" w14:textId="77777777" w:rsidTr="00202062">
        <w:trPr>
          <w:trHeight w:val="1767"/>
        </w:trPr>
        <w:tc>
          <w:tcPr>
            <w:tcW w:w="1675" w:type="pct"/>
            <w:tcBorders>
              <w:left w:val="nil"/>
              <w:bottom w:val="single" w:sz="4" w:space="0" w:color="auto"/>
              <w:right w:val="nil"/>
            </w:tcBorders>
          </w:tcPr>
          <w:p w14:paraId="724CB0F3" w14:textId="6869FC17" w:rsidR="007538B7" w:rsidRPr="007538B7" w:rsidRDefault="008636C3" w:rsidP="007538B7">
            <w:pPr>
              <w:pStyle w:val="Subtitle"/>
              <w:ind w:firstLine="0"/>
              <w:rPr>
                <w:rFonts w:ascii="Garamond" w:hAnsi="Garamond"/>
                <w:b/>
                <w:bCs/>
                <w:color w:val="000099"/>
                <w:sz w:val="20"/>
                <w:szCs w:val="20"/>
              </w:rPr>
            </w:pPr>
            <w:r w:rsidRPr="001607AD">
              <w:rPr>
                <w:rFonts w:ascii="Garamond" w:hAnsi="Garamond"/>
                <w:b/>
                <w:bCs/>
                <w:color w:val="000099"/>
                <w:sz w:val="20"/>
                <w:szCs w:val="20"/>
              </w:rPr>
              <w:t xml:space="preserve">Keywords: </w:t>
            </w:r>
          </w:p>
          <w:p w14:paraId="17E31A8E" w14:textId="77777777" w:rsidR="00A00322" w:rsidRDefault="00A00322" w:rsidP="00A00322">
            <w:pPr>
              <w:spacing w:line="240" w:lineRule="auto"/>
              <w:ind w:firstLine="0"/>
              <w:rPr>
                <w:rFonts w:ascii="Garamond" w:hAnsi="Garamond"/>
                <w:sz w:val="20"/>
                <w:szCs w:val="20"/>
              </w:rPr>
            </w:pPr>
            <w:r w:rsidRPr="00A00322">
              <w:rPr>
                <w:rFonts w:ascii="Garamond" w:hAnsi="Garamond"/>
                <w:sz w:val="20"/>
                <w:szCs w:val="20"/>
              </w:rPr>
              <w:t xml:space="preserve">Digital Economy, </w:t>
            </w:r>
          </w:p>
          <w:p w14:paraId="069005C4" w14:textId="77777777" w:rsidR="00A00322" w:rsidRDefault="00A00322" w:rsidP="00A00322">
            <w:pPr>
              <w:spacing w:line="240" w:lineRule="auto"/>
              <w:ind w:firstLine="0"/>
              <w:rPr>
                <w:rFonts w:ascii="Garamond" w:hAnsi="Garamond"/>
                <w:sz w:val="20"/>
                <w:szCs w:val="20"/>
              </w:rPr>
            </w:pPr>
            <w:r w:rsidRPr="00A00322">
              <w:rPr>
                <w:rFonts w:ascii="Garamond" w:hAnsi="Garamond"/>
                <w:sz w:val="20"/>
                <w:szCs w:val="20"/>
              </w:rPr>
              <w:t>Economic Growth,</w:t>
            </w:r>
          </w:p>
          <w:p w14:paraId="54A35F8B" w14:textId="74088981" w:rsidR="00A00322" w:rsidRDefault="00A00322" w:rsidP="00A00322">
            <w:pPr>
              <w:spacing w:line="240" w:lineRule="auto"/>
              <w:ind w:firstLine="0"/>
              <w:rPr>
                <w:rFonts w:ascii="Garamond" w:hAnsi="Garamond"/>
                <w:sz w:val="20"/>
                <w:szCs w:val="20"/>
              </w:rPr>
            </w:pPr>
            <w:r w:rsidRPr="00A00322">
              <w:rPr>
                <w:rFonts w:ascii="Garamond" w:hAnsi="Garamond"/>
                <w:sz w:val="20"/>
                <w:szCs w:val="20"/>
              </w:rPr>
              <w:t xml:space="preserve">E-Commerce, </w:t>
            </w:r>
          </w:p>
          <w:p w14:paraId="6819C758" w14:textId="77777777" w:rsidR="00A00322" w:rsidRDefault="00A00322" w:rsidP="00A00322">
            <w:pPr>
              <w:spacing w:line="240" w:lineRule="auto"/>
              <w:ind w:firstLine="0"/>
              <w:rPr>
                <w:rFonts w:ascii="Garamond" w:hAnsi="Garamond"/>
                <w:sz w:val="20"/>
                <w:szCs w:val="20"/>
              </w:rPr>
            </w:pPr>
            <w:r w:rsidRPr="00A00322">
              <w:rPr>
                <w:rFonts w:ascii="Garamond" w:hAnsi="Garamond"/>
                <w:sz w:val="20"/>
                <w:szCs w:val="20"/>
              </w:rPr>
              <w:t xml:space="preserve">Fintech, </w:t>
            </w:r>
          </w:p>
          <w:p w14:paraId="70854742" w14:textId="72A9BFDC" w:rsidR="005A7CA3" w:rsidRDefault="00A00322" w:rsidP="00A00322">
            <w:pPr>
              <w:spacing w:line="240" w:lineRule="auto"/>
              <w:ind w:firstLine="0"/>
              <w:rPr>
                <w:rFonts w:ascii="Garamond" w:hAnsi="Garamond"/>
                <w:sz w:val="20"/>
                <w:szCs w:val="20"/>
              </w:rPr>
            </w:pPr>
            <w:r w:rsidRPr="00A00322">
              <w:rPr>
                <w:rFonts w:ascii="Garamond" w:hAnsi="Garamond"/>
                <w:sz w:val="20"/>
                <w:szCs w:val="20"/>
              </w:rPr>
              <w:t xml:space="preserve">SMEs. </w:t>
            </w:r>
          </w:p>
          <w:p w14:paraId="1F89E046" w14:textId="722D2813" w:rsidR="005A2E78" w:rsidRPr="005A7CA3" w:rsidRDefault="005A2E78" w:rsidP="005A7CA3">
            <w:pPr>
              <w:spacing w:line="240" w:lineRule="auto"/>
              <w:ind w:firstLine="0"/>
              <w:rPr>
                <w:rFonts w:ascii="Garamond" w:eastAsiaTheme="minorEastAsia" w:hAnsi="Garamond"/>
                <w:sz w:val="20"/>
                <w:szCs w:val="20"/>
                <w:lang w:val="id-ID"/>
              </w:rPr>
            </w:pPr>
          </w:p>
        </w:tc>
        <w:tc>
          <w:tcPr>
            <w:tcW w:w="132" w:type="pct"/>
            <w:vMerge w:val="restart"/>
            <w:tcBorders>
              <w:top w:val="nil"/>
              <w:left w:val="nil"/>
              <w:bottom w:val="nil"/>
              <w:right w:val="nil"/>
            </w:tcBorders>
          </w:tcPr>
          <w:p w14:paraId="1571E3E5" w14:textId="77777777" w:rsidR="008636C3" w:rsidRPr="00D7729F" w:rsidRDefault="008636C3" w:rsidP="00224D87">
            <w:pPr>
              <w:spacing w:line="276" w:lineRule="auto"/>
              <w:ind w:firstLine="0"/>
              <w:rPr>
                <w:rFonts w:ascii="Garamond" w:hAnsi="Garamond"/>
                <w:b/>
                <w:bCs/>
              </w:rPr>
            </w:pPr>
          </w:p>
        </w:tc>
        <w:tc>
          <w:tcPr>
            <w:tcW w:w="3193" w:type="pct"/>
            <w:vMerge/>
            <w:tcBorders>
              <w:top w:val="nil"/>
              <w:left w:val="nil"/>
              <w:bottom w:val="nil"/>
              <w:right w:val="nil"/>
            </w:tcBorders>
          </w:tcPr>
          <w:p w14:paraId="076DA55D" w14:textId="45D19C9C" w:rsidR="008636C3" w:rsidRPr="00D7729F" w:rsidRDefault="008636C3" w:rsidP="00224D87">
            <w:pPr>
              <w:spacing w:line="276" w:lineRule="auto"/>
              <w:ind w:firstLine="0"/>
              <w:rPr>
                <w:rFonts w:ascii="Garamond" w:hAnsi="Garamond"/>
                <w:b/>
                <w:bCs/>
              </w:rPr>
            </w:pPr>
          </w:p>
        </w:tc>
      </w:tr>
      <w:tr w:rsidR="008636C3" w:rsidRPr="00D7729F" w14:paraId="6A67D029" w14:textId="77777777" w:rsidTr="00202062">
        <w:trPr>
          <w:trHeight w:val="2478"/>
        </w:trPr>
        <w:tc>
          <w:tcPr>
            <w:tcW w:w="1675" w:type="pct"/>
            <w:tcBorders>
              <w:top w:val="single" w:sz="4" w:space="0" w:color="auto"/>
              <w:left w:val="nil"/>
              <w:bottom w:val="single" w:sz="4" w:space="0" w:color="auto"/>
              <w:right w:val="nil"/>
            </w:tcBorders>
          </w:tcPr>
          <w:p w14:paraId="045B3D48" w14:textId="1DC656A5" w:rsidR="00A07BB9" w:rsidRPr="001607AD" w:rsidRDefault="00A07BB9" w:rsidP="00A07BB9">
            <w:pPr>
              <w:pStyle w:val="Subtitle"/>
              <w:ind w:firstLine="0"/>
              <w:rPr>
                <w:rFonts w:ascii="Garamond" w:hAnsi="Garamond"/>
                <w:b/>
                <w:bCs/>
                <w:color w:val="000099"/>
                <w:sz w:val="20"/>
                <w:szCs w:val="20"/>
              </w:rPr>
            </w:pPr>
            <w:r>
              <w:rPr>
                <w:rFonts w:ascii="Garamond" w:hAnsi="Garamond"/>
                <w:b/>
                <w:bCs/>
                <w:color w:val="000099"/>
                <w:sz w:val="20"/>
                <w:szCs w:val="20"/>
              </w:rPr>
              <w:t xml:space="preserve">Identifier: </w:t>
            </w:r>
          </w:p>
          <w:p w14:paraId="32E7B22E" w14:textId="56FDA44C" w:rsidR="007B1571" w:rsidRPr="000869E2" w:rsidRDefault="007B1571" w:rsidP="00A07BB9">
            <w:pPr>
              <w:pStyle w:val="Subtitle"/>
              <w:ind w:firstLine="0"/>
              <w:rPr>
                <w:rFonts w:ascii="Garamond" w:hAnsi="Garamond"/>
                <w:sz w:val="20"/>
                <w:szCs w:val="20"/>
              </w:rPr>
            </w:pPr>
            <w:r w:rsidRPr="000869E2">
              <w:rPr>
                <w:rFonts w:ascii="Garamond" w:hAnsi="Garamond"/>
                <w:sz w:val="20"/>
                <w:szCs w:val="20"/>
              </w:rPr>
              <w:t>Zer</w:t>
            </w:r>
            <w:r w:rsidR="003000F7">
              <w:rPr>
                <w:rFonts w:ascii="Garamond" w:hAnsi="Garamond"/>
                <w:sz w:val="20"/>
                <w:szCs w:val="20"/>
              </w:rPr>
              <w:t>a</w:t>
            </w:r>
            <w:r w:rsidRPr="000869E2">
              <w:rPr>
                <w:rFonts w:ascii="Garamond" w:hAnsi="Garamond"/>
                <w:sz w:val="20"/>
                <w:szCs w:val="20"/>
              </w:rPr>
              <w:t xml:space="preserve"> Open </w:t>
            </w:r>
          </w:p>
          <w:p w14:paraId="2866AEDA" w14:textId="65C12DBB" w:rsidR="000869E2" w:rsidRPr="000869E2" w:rsidRDefault="007B1571" w:rsidP="000869E2">
            <w:pPr>
              <w:pStyle w:val="Subtitle"/>
              <w:ind w:firstLine="0"/>
              <w:rPr>
                <w:rFonts w:ascii="Garamond" w:hAnsi="Garamond"/>
                <w:sz w:val="20"/>
                <w:szCs w:val="20"/>
              </w:rPr>
            </w:pPr>
            <w:r w:rsidRPr="000869E2">
              <w:rPr>
                <w:rFonts w:ascii="Garamond" w:hAnsi="Garamond"/>
                <w:sz w:val="20"/>
                <w:szCs w:val="20"/>
              </w:rPr>
              <w:t xml:space="preserve">Page: </w:t>
            </w:r>
            <w:r w:rsidR="0002683C">
              <w:rPr>
                <w:rFonts w:ascii="Garamond" w:hAnsi="Garamond"/>
                <w:sz w:val="20"/>
                <w:szCs w:val="20"/>
              </w:rPr>
              <w:t>99-</w:t>
            </w:r>
            <w:r w:rsidR="009D3D59">
              <w:rPr>
                <w:rFonts w:ascii="Garamond" w:hAnsi="Garamond"/>
                <w:sz w:val="20"/>
                <w:szCs w:val="20"/>
              </w:rPr>
              <w:t>118</w:t>
            </w:r>
          </w:p>
          <w:p w14:paraId="24DC83A8" w14:textId="09AA334E" w:rsidR="00202062" w:rsidRDefault="00A621B6" w:rsidP="000869E2">
            <w:pPr>
              <w:pStyle w:val="Subtitle"/>
              <w:ind w:firstLine="0"/>
              <w:rPr>
                <w:rFonts w:ascii="Garamond" w:hAnsi="Garamond"/>
                <w:sz w:val="20"/>
                <w:szCs w:val="20"/>
              </w:rPr>
            </w:pPr>
            <w:hyperlink r:id="rId8" w:history="1">
              <w:r w:rsidRPr="00142538">
                <w:rPr>
                  <w:rStyle w:val="Hyperlink"/>
                  <w:rFonts w:ascii="Garamond" w:hAnsi="Garamond"/>
                  <w:sz w:val="20"/>
                  <w:szCs w:val="20"/>
                </w:rPr>
                <w:t>https://zeraopen.com/journal/ferdm</w:t>
              </w:r>
            </w:hyperlink>
          </w:p>
          <w:p w14:paraId="062392E0" w14:textId="77777777" w:rsidR="00A621B6" w:rsidRPr="00A621B6" w:rsidRDefault="00A621B6" w:rsidP="00A621B6"/>
          <w:p w14:paraId="3B4A9420" w14:textId="7C214EE4" w:rsidR="00A07BB9" w:rsidRPr="000869E2" w:rsidRDefault="000E4C72" w:rsidP="000869E2">
            <w:pPr>
              <w:pStyle w:val="Subtitle"/>
              <w:ind w:firstLine="0"/>
              <w:rPr>
                <w:rFonts w:ascii="Garamond" w:hAnsi="Garamond"/>
                <w:sz w:val="20"/>
                <w:szCs w:val="20"/>
              </w:rPr>
            </w:pPr>
            <w:r w:rsidRPr="000869E2">
              <w:rPr>
                <w:rFonts w:ascii="Garamond" w:hAnsi="Garamond"/>
                <w:sz w:val="20"/>
                <w:szCs w:val="20"/>
              </w:rPr>
              <w:t xml:space="preserve"> </w:t>
            </w:r>
          </w:p>
          <w:p w14:paraId="60499066" w14:textId="34B0F95D" w:rsidR="008636C3" w:rsidRPr="00A07BB9" w:rsidRDefault="008636C3" w:rsidP="009C3EFC">
            <w:pPr>
              <w:pStyle w:val="Subtitle"/>
              <w:ind w:firstLine="0"/>
              <w:rPr>
                <w:rFonts w:ascii="Garamond" w:hAnsi="Garamond"/>
                <w:sz w:val="20"/>
                <w:szCs w:val="20"/>
              </w:rPr>
            </w:pPr>
          </w:p>
        </w:tc>
        <w:tc>
          <w:tcPr>
            <w:tcW w:w="132" w:type="pct"/>
            <w:vMerge/>
            <w:tcBorders>
              <w:left w:val="nil"/>
              <w:bottom w:val="nil"/>
              <w:right w:val="nil"/>
            </w:tcBorders>
          </w:tcPr>
          <w:p w14:paraId="0135796B" w14:textId="77777777" w:rsidR="008636C3" w:rsidRPr="00D7729F" w:rsidRDefault="008636C3" w:rsidP="00224D87">
            <w:pPr>
              <w:spacing w:line="276" w:lineRule="auto"/>
              <w:ind w:firstLine="0"/>
              <w:rPr>
                <w:rFonts w:ascii="Garamond" w:hAnsi="Garamond"/>
                <w:b/>
                <w:bCs/>
              </w:rPr>
            </w:pPr>
          </w:p>
        </w:tc>
        <w:tc>
          <w:tcPr>
            <w:tcW w:w="3193" w:type="pct"/>
            <w:vMerge/>
            <w:tcBorders>
              <w:top w:val="nil"/>
              <w:left w:val="nil"/>
              <w:bottom w:val="single" w:sz="4" w:space="0" w:color="auto"/>
              <w:right w:val="nil"/>
            </w:tcBorders>
          </w:tcPr>
          <w:p w14:paraId="7B7FA19C" w14:textId="77777777" w:rsidR="008636C3" w:rsidRPr="00D7729F" w:rsidRDefault="008636C3" w:rsidP="00224D87">
            <w:pPr>
              <w:spacing w:line="276" w:lineRule="auto"/>
              <w:ind w:firstLine="0"/>
              <w:rPr>
                <w:rFonts w:ascii="Garamond" w:hAnsi="Garamond"/>
                <w:b/>
                <w:bCs/>
              </w:rPr>
            </w:pPr>
          </w:p>
        </w:tc>
      </w:tr>
    </w:tbl>
    <w:p w14:paraId="6E5CD111" w14:textId="77777777" w:rsidR="003B6899" w:rsidRPr="00D7729F" w:rsidRDefault="003B6899" w:rsidP="003B6899">
      <w:pPr>
        <w:pStyle w:val="Heading1"/>
      </w:pPr>
      <w:r w:rsidRPr="00D7729F">
        <w:lastRenderedPageBreak/>
        <w:t>1. Introduction</w:t>
      </w:r>
    </w:p>
    <w:p w14:paraId="2D08FBE3" w14:textId="5667E791" w:rsidR="004F611E" w:rsidRPr="004F611E" w:rsidRDefault="004F611E" w:rsidP="004F611E">
      <w:pPr>
        <w:rPr>
          <w:rFonts w:ascii="Garamond" w:hAnsi="Garamond"/>
        </w:rPr>
      </w:pPr>
      <w:bookmarkStart w:id="0" w:name="_Hlk203403668"/>
      <w:r w:rsidRPr="004F611E">
        <w:rPr>
          <w:rFonts w:ascii="Garamond" w:hAnsi="Garamond"/>
        </w:rPr>
        <w:t>The digital economy is a phenomenon of economic system transformation supported by the development of information technology, the internet, and digital media. In a more basic definition, the digital economy includes all economic activities that use digital technology as the main basis in the production, distribution, and consumption of goods and services (</w:t>
      </w:r>
      <w:r w:rsidR="001B3B9E" w:rsidRPr="001B3B9E">
        <w:rPr>
          <w:rFonts w:ascii="Garamond" w:hAnsi="Garamond"/>
        </w:rPr>
        <w:t>Williams</w:t>
      </w:r>
      <w:r w:rsidRPr="004F611E">
        <w:rPr>
          <w:rFonts w:ascii="Garamond" w:hAnsi="Garamond"/>
        </w:rPr>
        <w:t>, 20</w:t>
      </w:r>
      <w:r w:rsidR="001B3B9E">
        <w:rPr>
          <w:rFonts w:ascii="Garamond" w:hAnsi="Garamond"/>
        </w:rPr>
        <w:t>2</w:t>
      </w:r>
      <w:r w:rsidRPr="004F611E">
        <w:rPr>
          <w:rFonts w:ascii="Garamond" w:hAnsi="Garamond"/>
        </w:rPr>
        <w:t>1). The presence of the internet, big data, artificial intelligence, and social media makes economic activities more connected, efficient, and inclusive. Social media no longer only functions as a means of interpersonal communication, but also becomes an important channel in product marketing, buying and selling transactions, and customer service which further strengthens the digital economy ecosystem.</w:t>
      </w:r>
    </w:p>
    <w:p w14:paraId="4CB3EFDB" w14:textId="77777777" w:rsidR="004F611E" w:rsidRPr="004F611E" w:rsidRDefault="004F611E" w:rsidP="004F611E">
      <w:pPr>
        <w:rPr>
          <w:rFonts w:ascii="Garamond" w:hAnsi="Garamond"/>
        </w:rPr>
      </w:pPr>
      <w:r w:rsidRPr="004F611E">
        <w:rPr>
          <w:rFonts w:ascii="Garamond" w:hAnsi="Garamond"/>
        </w:rPr>
        <w:t xml:space="preserve">In the global context, the digital economy shows a very significant growth trend. The phenomenon of e-commerce, financial technology (fintech), digital banking, and the presence of various technology startups have changed the structure of the world economy in the last two decades. According to the UNCTAD report (2021), the value of global e-commerce transactions in 2019 reached more than USD 26.7 trillion and continues to increase in line with the increasing internet penetration and digital technology adaptation, especially during the COVID-19 pandemic which encourages the acceleration of digitalization. In addition, fintech is growing rapidly by providing digital payment services, peer-to-peer lending, and application-based investment that provide wider and more inclusive financial access. Tech startups also play an important role as a driving force for innovation that creates new jobs, increases productivity, and expands economic opportunities in various sectors. </w:t>
      </w:r>
      <w:r w:rsidRPr="004F611E">
        <w:rPr>
          <w:rFonts w:ascii="Garamond" w:hAnsi="Garamond"/>
        </w:rPr>
        <w:lastRenderedPageBreak/>
        <w:t>Thus, the digital economy not only opens up new business opportunities, but also contributes as an important pillar for sustainable global economic growth.</w:t>
      </w:r>
    </w:p>
    <w:p w14:paraId="2E058DD6" w14:textId="2821C0EE" w:rsidR="004F611E" w:rsidRPr="004F611E" w:rsidRDefault="004F611E" w:rsidP="0002683C">
      <w:pPr>
        <w:rPr>
          <w:rFonts w:ascii="Garamond" w:hAnsi="Garamond"/>
        </w:rPr>
      </w:pPr>
      <w:r w:rsidRPr="004F611E">
        <w:rPr>
          <w:rFonts w:ascii="Garamond" w:hAnsi="Garamond"/>
        </w:rPr>
        <w:t>Indonesia, as one of the countries with the largest population in the world, has also experienced significant digital economic growth. A report by the Indonesian Internet Service Providers Association (</w:t>
      </w:r>
      <w:proofErr w:type="spellStart"/>
      <w:r w:rsidR="0002683C" w:rsidRPr="0002683C">
        <w:rPr>
          <w:rFonts w:ascii="Garamond" w:hAnsi="Garamond"/>
          <w:i/>
          <w:iCs/>
        </w:rPr>
        <w:t>Asosiasi</w:t>
      </w:r>
      <w:proofErr w:type="spellEnd"/>
      <w:r w:rsidR="0002683C" w:rsidRPr="0002683C">
        <w:rPr>
          <w:rFonts w:ascii="Garamond" w:hAnsi="Garamond"/>
          <w:i/>
          <w:iCs/>
        </w:rPr>
        <w:t xml:space="preserve"> </w:t>
      </w:r>
      <w:proofErr w:type="spellStart"/>
      <w:r w:rsidR="0002683C" w:rsidRPr="0002683C">
        <w:rPr>
          <w:rFonts w:ascii="Garamond" w:hAnsi="Garamond"/>
          <w:i/>
          <w:iCs/>
        </w:rPr>
        <w:t>Penyelenggara</w:t>
      </w:r>
      <w:proofErr w:type="spellEnd"/>
      <w:r w:rsidR="0002683C" w:rsidRPr="0002683C">
        <w:rPr>
          <w:rFonts w:ascii="Garamond" w:hAnsi="Garamond"/>
          <w:i/>
          <w:iCs/>
        </w:rPr>
        <w:t xml:space="preserve"> Jasa Internet Indonesia</w:t>
      </w:r>
      <w:r w:rsidR="0002683C">
        <w:rPr>
          <w:rFonts w:ascii="Garamond" w:hAnsi="Garamond"/>
        </w:rPr>
        <w:t>/</w:t>
      </w:r>
      <w:r w:rsidRPr="004F611E">
        <w:rPr>
          <w:rFonts w:ascii="Garamond" w:hAnsi="Garamond"/>
        </w:rPr>
        <w:t>APJII) noted that in 2022 there will be more than 210 million internet users, or around 77 percent of the total national population. This condition is a strong foundation for the development of various digital platforms, especially marketplaces such as Shopee, Tokopedia, and Lazada which dominate online commerce in the country. The Micro, Small, and Medium Enterprises (MSMEs) sector that is starting to be digitized also plays an important role as the backbone of the national economy. The Google</w:t>
      </w:r>
      <w:r w:rsidR="00F744EF">
        <w:rPr>
          <w:rFonts w:ascii="Garamond" w:hAnsi="Garamond"/>
        </w:rPr>
        <w:t xml:space="preserve"> et al.</w:t>
      </w:r>
      <w:r w:rsidRPr="004F611E">
        <w:rPr>
          <w:rFonts w:ascii="Garamond" w:hAnsi="Garamond"/>
        </w:rPr>
        <w:t xml:space="preserve"> (2022) shows that Indonesia's contribution to the digital economy in 202</w:t>
      </w:r>
      <w:r w:rsidR="009D3D59">
        <w:rPr>
          <w:rFonts w:ascii="Garamond" w:hAnsi="Garamond"/>
        </w:rPr>
        <w:t>0</w:t>
      </w:r>
      <w:r w:rsidRPr="004F611E">
        <w:rPr>
          <w:rFonts w:ascii="Garamond" w:hAnsi="Garamond"/>
        </w:rPr>
        <w:t xml:space="preserve"> reached USD 77 billion and is projected to increase to USD 130 billion by 202</w:t>
      </w:r>
      <w:r w:rsidR="009D3D59">
        <w:rPr>
          <w:rFonts w:ascii="Garamond" w:hAnsi="Garamond"/>
        </w:rPr>
        <w:t>2</w:t>
      </w:r>
      <w:r w:rsidRPr="004F611E">
        <w:rPr>
          <w:rFonts w:ascii="Garamond" w:hAnsi="Garamond"/>
        </w:rPr>
        <w:t>. In addition, the banking sector is also undergoing digital transformation through mobile banking services, e-wallets, and pure digital banks that expand financial access for the public.</w:t>
      </w:r>
    </w:p>
    <w:p w14:paraId="261F0616" w14:textId="0EAA564F" w:rsidR="004F611E" w:rsidRPr="004F611E" w:rsidRDefault="004F611E" w:rsidP="004F611E">
      <w:pPr>
        <w:rPr>
          <w:rFonts w:ascii="Garamond" w:hAnsi="Garamond"/>
        </w:rPr>
      </w:pPr>
      <w:r w:rsidRPr="004F611E">
        <w:rPr>
          <w:rFonts w:ascii="Garamond" w:hAnsi="Garamond"/>
        </w:rPr>
        <w:t>The socio-economic phenomenon that arises from the development of the digital economy in Indonesia is quite complex. On the one hand, the increase in online transactions shows a shift in people's consumption behavior that prioritizes speed, convenience, and efficiency</w:t>
      </w:r>
      <w:r w:rsidR="00674299">
        <w:rPr>
          <w:rFonts w:ascii="Garamond" w:hAnsi="Garamond"/>
        </w:rPr>
        <w:t xml:space="preserve"> (</w:t>
      </w:r>
      <w:proofErr w:type="spellStart"/>
      <w:r w:rsidR="00674299">
        <w:rPr>
          <w:rFonts w:ascii="Garamond" w:hAnsi="Garamond"/>
        </w:rPr>
        <w:t>Toubes</w:t>
      </w:r>
      <w:proofErr w:type="spellEnd"/>
      <w:r w:rsidR="00674299">
        <w:rPr>
          <w:rFonts w:ascii="Garamond" w:hAnsi="Garamond"/>
        </w:rPr>
        <w:t xml:space="preserve"> et al., 2021)</w:t>
      </w:r>
      <w:r w:rsidRPr="004F611E">
        <w:rPr>
          <w:rFonts w:ascii="Garamond" w:hAnsi="Garamond"/>
        </w:rPr>
        <w:t xml:space="preserve">. This change creates new job opportunities in the fields of technology, logistics, and the creative economy, as well as expanding market access for business actors, especially MSMEs. But on the other hand, the challenges that arise cannot be ignored, such as the digital divide </w:t>
      </w:r>
      <w:r w:rsidRPr="004F611E">
        <w:rPr>
          <w:rFonts w:ascii="Garamond" w:hAnsi="Garamond"/>
        </w:rPr>
        <w:lastRenderedPageBreak/>
        <w:t>between urban and rural areas, data security and privacy issues, to the risk of dependence on global platforms that dominate the domestic market. With such conditions, important questions arise regarding the extent to which the digital economy can affect Indonesia's economic growth, the positive and negative impacts it has on society, and how existing opportunities and challenges can be managed to improve national welfare.</w:t>
      </w:r>
    </w:p>
    <w:p w14:paraId="40ACC673" w14:textId="77777777" w:rsidR="00674299" w:rsidRDefault="004F611E" w:rsidP="00674299">
      <w:pPr>
        <w:rPr>
          <w:rFonts w:ascii="Garamond" w:hAnsi="Garamond"/>
        </w:rPr>
      </w:pPr>
      <w:r w:rsidRPr="004F611E">
        <w:rPr>
          <w:rFonts w:ascii="Garamond" w:hAnsi="Garamond"/>
        </w:rPr>
        <w:t>This paper aims to describe the influence of digital economy development on the Indonesian economy, identify positive and negative impacts on society and business actors, and analyze the potential of the digital economy in encouraging national economic growth. Theoretically, this paper is expected to contribute to the literature on the digital economy by providing a special perspective on developments in Indonesia. Meanwhile, practically, this paper is expected to provide useful insights for business actors, governments, and the wider community in effectively utilizing digital economy opportunities while anticipating emerging challenges.</w:t>
      </w:r>
      <w:r w:rsidR="00674299">
        <w:rPr>
          <w:rFonts w:ascii="Garamond" w:hAnsi="Garamond"/>
        </w:rPr>
        <w:t xml:space="preserve"> </w:t>
      </w:r>
      <w:r w:rsidRPr="004F611E">
        <w:rPr>
          <w:rFonts w:ascii="Garamond" w:hAnsi="Garamond"/>
        </w:rPr>
        <w:t xml:space="preserve">In analyzing the phenomenon of the digital economy, several theoretical frameworks are used as a foundation. Digital Transformation Theory explains how fundamental changes in business processes occur through the adoption of digital technology. The Network Economy theory emphasizes the importance of internet networks and connectivity in creating economic value, while the Sharing Economy theory outlines how digital platforms enable the joint use of resources to improve efficiency. </w:t>
      </w:r>
    </w:p>
    <w:p w14:paraId="79CD6465" w14:textId="7A43D48F" w:rsidR="003B6899" w:rsidRPr="006A14CA" w:rsidRDefault="004F611E" w:rsidP="00674299">
      <w:pPr>
        <w:rPr>
          <w:rFonts w:ascii="Garamond" w:hAnsi="Garamond"/>
        </w:rPr>
      </w:pPr>
      <w:r w:rsidRPr="004F611E">
        <w:rPr>
          <w:rFonts w:ascii="Garamond" w:hAnsi="Garamond"/>
        </w:rPr>
        <w:t xml:space="preserve">In addition, the theory of Digital Consumer Behavior is used to understand how people's preferences are changing in the context of e-commerce and fintech. Information Technology Socio-Economic Impact Theory is also relevant in </w:t>
      </w:r>
      <w:r w:rsidRPr="004F611E">
        <w:rPr>
          <w:rFonts w:ascii="Garamond" w:hAnsi="Garamond"/>
        </w:rPr>
        <w:lastRenderedPageBreak/>
        <w:t>explaining how digitalization changes social behavior, market structure, and people's consumption patterns.</w:t>
      </w:r>
      <w:r w:rsidR="00674299">
        <w:rPr>
          <w:rFonts w:ascii="Garamond" w:hAnsi="Garamond"/>
        </w:rPr>
        <w:t xml:space="preserve"> </w:t>
      </w:r>
      <w:r w:rsidRPr="004F611E">
        <w:rPr>
          <w:rFonts w:ascii="Garamond" w:hAnsi="Garamond"/>
        </w:rPr>
        <w:t>Initial supporting data shows that the digital economy in Indonesia continues to grow rapidly. APJII (2022) notes that internet users are increasing significantly every year, reflecting the growing digital consumer base. Meanwhile, the Google</w:t>
      </w:r>
      <w:r w:rsidR="00F744EF">
        <w:rPr>
          <w:rFonts w:ascii="Garamond" w:hAnsi="Garamond"/>
        </w:rPr>
        <w:t xml:space="preserve"> et al.</w:t>
      </w:r>
      <w:r w:rsidRPr="004F611E">
        <w:rPr>
          <w:rFonts w:ascii="Garamond" w:hAnsi="Garamond"/>
        </w:rPr>
        <w:t xml:space="preserve"> (2022) estimates that Indonesia's digital economy will be the largest in Southeast Asia with an average annual growth of more than 20 percent. The growth of digital MSMEs is also the main motor in this ecosystem, supported by marketplace platforms that are able to expand their market reach. On the other hand, Indonesian tech startups have managed to attract large foreign investments, strengthening Indonesia's position as one of the centers of digital growth in the region. These data show that the digital economy has become an important pillar of the Indonesian economy and has great potential to continue to grow in the future.</w:t>
      </w:r>
    </w:p>
    <w:bookmarkEnd w:id="0"/>
    <w:p w14:paraId="633198AA" w14:textId="77777777" w:rsidR="003B6899" w:rsidRPr="002D123C" w:rsidRDefault="003B6899" w:rsidP="003B6899">
      <w:pPr>
        <w:pStyle w:val="Heading1"/>
        <w:rPr>
          <w:rFonts w:ascii="Gill Sans MT" w:hAnsi="Gill Sans MT"/>
        </w:rPr>
      </w:pPr>
      <w:r w:rsidRPr="00D7729F">
        <w:t>2. Literature Review</w:t>
      </w:r>
    </w:p>
    <w:p w14:paraId="12AF1A0C" w14:textId="4677773C" w:rsidR="003B6899" w:rsidRPr="00D7729F" w:rsidRDefault="003B6899" w:rsidP="000D3B6D">
      <w:pPr>
        <w:pStyle w:val="Heading2"/>
      </w:pPr>
      <w:bookmarkStart w:id="1" w:name="_Hlk203403713"/>
      <w:r w:rsidRPr="00D7729F">
        <w:t xml:space="preserve">2.1. </w:t>
      </w:r>
      <w:r w:rsidR="000D3B6D" w:rsidRPr="000D3B6D">
        <w:rPr>
          <w:bCs/>
        </w:rPr>
        <w:t>Digital Economy and National Economic Growth</w:t>
      </w:r>
    </w:p>
    <w:p w14:paraId="1D75583F" w14:textId="75A8F3B1" w:rsidR="000D3B6D" w:rsidRDefault="000D3B6D" w:rsidP="000D3B6D">
      <w:pPr>
        <w:rPr>
          <w:rFonts w:ascii="Garamond" w:hAnsi="Garamond"/>
        </w:rPr>
      </w:pPr>
      <w:r w:rsidRPr="000D3B6D">
        <w:rPr>
          <w:rFonts w:ascii="Garamond" w:hAnsi="Garamond"/>
        </w:rPr>
        <w:t xml:space="preserve">The digital economy is defined as economic activities based on digital technology, the internet, and electronic devices that enable transactions and distribution of goods and services more efficiently. This concept has gained increasing attention in the last two decades due to its significant role in changing the structure of the global economy. According to </w:t>
      </w:r>
      <w:r w:rsidR="001B3B9E" w:rsidRPr="001B3B9E">
        <w:rPr>
          <w:rFonts w:ascii="Garamond" w:hAnsi="Garamond"/>
        </w:rPr>
        <w:t>Williams</w:t>
      </w:r>
      <w:r w:rsidR="001B3B9E" w:rsidRPr="000D3B6D">
        <w:rPr>
          <w:rFonts w:ascii="Garamond" w:hAnsi="Garamond"/>
        </w:rPr>
        <w:t xml:space="preserve"> </w:t>
      </w:r>
      <w:r w:rsidRPr="000D3B6D">
        <w:rPr>
          <w:rFonts w:ascii="Garamond" w:hAnsi="Garamond"/>
        </w:rPr>
        <w:t>(20</w:t>
      </w:r>
      <w:r w:rsidR="001B3B9E">
        <w:rPr>
          <w:rFonts w:ascii="Garamond" w:hAnsi="Garamond"/>
        </w:rPr>
        <w:t>2</w:t>
      </w:r>
      <w:r w:rsidRPr="000D3B6D">
        <w:rPr>
          <w:rFonts w:ascii="Garamond" w:hAnsi="Garamond"/>
        </w:rPr>
        <w:t xml:space="preserve">1), the digital economy includes various aspects ranging from electronic commerce, platform-based services, to digital financial services. This contributes directly to economic growth through </w:t>
      </w:r>
      <w:r w:rsidRPr="000D3B6D">
        <w:rPr>
          <w:rFonts w:ascii="Garamond" w:hAnsi="Garamond"/>
        </w:rPr>
        <w:lastRenderedPageBreak/>
        <w:t xml:space="preserve">increased productivity, innovation, and the creation of new markets. In Indonesia, the development of the digital economy occupies a strategic position in national economic development. </w:t>
      </w:r>
    </w:p>
    <w:p w14:paraId="6286EE63" w14:textId="7C691763" w:rsidR="003B6899" w:rsidRPr="006A14CA" w:rsidRDefault="000D3B6D" w:rsidP="000D3B6D">
      <w:pPr>
        <w:rPr>
          <w:rFonts w:ascii="Garamond" w:hAnsi="Garamond"/>
        </w:rPr>
      </w:pPr>
      <w:r w:rsidRPr="000D3B6D">
        <w:rPr>
          <w:rFonts w:ascii="Garamond" w:hAnsi="Garamond"/>
        </w:rPr>
        <w:t>Google</w:t>
      </w:r>
      <w:r w:rsidR="004B0BD8">
        <w:rPr>
          <w:rFonts w:ascii="Garamond" w:hAnsi="Garamond"/>
        </w:rPr>
        <w:t xml:space="preserve"> et al.</w:t>
      </w:r>
      <w:r w:rsidRPr="000D3B6D">
        <w:rPr>
          <w:rFonts w:ascii="Garamond" w:hAnsi="Garamond"/>
        </w:rPr>
        <w:t xml:space="preserve"> (2022) in their report project that the value of Indonesia's digital economy could reach USD 130 billion by 202</w:t>
      </w:r>
      <w:r w:rsidR="009D3D59">
        <w:rPr>
          <w:rFonts w:ascii="Garamond" w:hAnsi="Garamond"/>
        </w:rPr>
        <w:t>2</w:t>
      </w:r>
      <w:r w:rsidRPr="000D3B6D">
        <w:rPr>
          <w:rFonts w:ascii="Garamond" w:hAnsi="Garamond"/>
        </w:rPr>
        <w:t>, making it the largest in Southeast Asia. This development not only boosts GDP growth, but also expands public access to financial services and increases the competitiveness of MSMEs. However, this rapid development is also accompanied by challenges, such as the digital divide, consumer protection, and the dominance of foreign platforms that can reduce Indonesia's digital sovereignty. From the perspective of economic development, the digital economy acts as a catalyst in strengthening a more inclusive economic structure. Digital transformation is enabling more people, including those in remote areas, to access economic services. Thus, the digital economy in Indonesia is not only a source of new growth, but also an important instrument in supporting the achievement of sustainable development.</w:t>
      </w:r>
    </w:p>
    <w:p w14:paraId="200FA10A" w14:textId="480CDF22" w:rsidR="003B6899" w:rsidRPr="00D7729F" w:rsidRDefault="003B6899" w:rsidP="000D3B6D">
      <w:pPr>
        <w:pStyle w:val="Heading2"/>
      </w:pPr>
      <w:r w:rsidRPr="00D7729F">
        <w:t>2.2. E-commerce, MSMEs, and Business Transformation</w:t>
      </w:r>
    </w:p>
    <w:p w14:paraId="186415F6" w14:textId="1136697C" w:rsidR="000D3B6D" w:rsidRDefault="000D3B6D" w:rsidP="000D3B6D">
      <w:pPr>
        <w:rPr>
          <w:rFonts w:ascii="Garamond" w:hAnsi="Garamond"/>
        </w:rPr>
      </w:pPr>
      <w:r w:rsidRPr="000D3B6D">
        <w:rPr>
          <w:rFonts w:ascii="Garamond" w:hAnsi="Garamond"/>
        </w:rPr>
        <w:t xml:space="preserve">E-commerce is the most prominent face of the development of the digital economy in Indonesia. Platforms such as Tokopedia, Shopee, and Lazada have become digital commerce hubs with transaction values that continue to increase every year. According to </w:t>
      </w:r>
      <w:proofErr w:type="spellStart"/>
      <w:r w:rsidR="001B3B9E" w:rsidRPr="001B3B9E">
        <w:rPr>
          <w:rFonts w:ascii="Garamond" w:hAnsi="Garamond"/>
        </w:rPr>
        <w:t>Amornkitvikai</w:t>
      </w:r>
      <w:proofErr w:type="spellEnd"/>
      <w:r w:rsidR="001B3B9E" w:rsidRPr="000D3B6D">
        <w:rPr>
          <w:rFonts w:ascii="Garamond" w:hAnsi="Garamond"/>
        </w:rPr>
        <w:t xml:space="preserve"> </w:t>
      </w:r>
      <w:r w:rsidR="001B3B9E">
        <w:rPr>
          <w:rFonts w:ascii="Garamond" w:hAnsi="Garamond"/>
        </w:rPr>
        <w:t xml:space="preserve">et al. </w:t>
      </w:r>
      <w:r w:rsidRPr="000D3B6D">
        <w:rPr>
          <w:rFonts w:ascii="Garamond" w:hAnsi="Garamond"/>
        </w:rPr>
        <w:t>(20</w:t>
      </w:r>
      <w:r w:rsidR="001B3B9E">
        <w:rPr>
          <w:rFonts w:ascii="Garamond" w:hAnsi="Garamond"/>
        </w:rPr>
        <w:t>22</w:t>
      </w:r>
      <w:r w:rsidRPr="000D3B6D">
        <w:rPr>
          <w:rFonts w:ascii="Garamond" w:hAnsi="Garamond"/>
        </w:rPr>
        <w:t xml:space="preserve">), the adoption of e-commerce allows MSMEs to expand the market without being limited by geographical location, while lowering distribution costs. This is particularly relevant in Indonesia, where MSMEs contribute more than 60% to the national GDP and employ a large portion </w:t>
      </w:r>
      <w:r w:rsidRPr="000D3B6D">
        <w:rPr>
          <w:rFonts w:ascii="Garamond" w:hAnsi="Garamond"/>
        </w:rPr>
        <w:lastRenderedPageBreak/>
        <w:t xml:space="preserve">of the workforce. However, the great opportunities offered by e-commerce cannot always be utilized equally. Many MSMEs face obstacles in the form of limited digital literacy, initial investment costs for digitalization, and fierce price competition on online platforms. </w:t>
      </w:r>
    </w:p>
    <w:p w14:paraId="12A1C9E3" w14:textId="4D487952" w:rsidR="003B6899" w:rsidRDefault="0001751C" w:rsidP="000D3B6D">
      <w:pPr>
        <w:rPr>
          <w:rFonts w:ascii="Garamond" w:hAnsi="Garamond"/>
        </w:rPr>
      </w:pPr>
      <w:r>
        <w:rPr>
          <w:rFonts w:ascii="Garamond" w:hAnsi="Garamond"/>
        </w:rPr>
        <w:t>Cueto et al.</w:t>
      </w:r>
      <w:r w:rsidR="00E74968" w:rsidRPr="00E74968">
        <w:rPr>
          <w:rFonts w:ascii="Garamond" w:hAnsi="Garamond"/>
        </w:rPr>
        <w:t xml:space="preserve"> (202</w:t>
      </w:r>
      <w:r>
        <w:rPr>
          <w:rFonts w:ascii="Garamond" w:hAnsi="Garamond"/>
        </w:rPr>
        <w:t>2</w:t>
      </w:r>
      <w:r w:rsidR="00E74968" w:rsidRPr="00E74968">
        <w:rPr>
          <w:rFonts w:ascii="Garamond" w:hAnsi="Garamond"/>
        </w:rPr>
        <w:t>) emphasized that the main challenge for MSMEs is the inability to compete in digital marketing and the lack of ability to maintain product quality to meet global market standards. On the other hand, government support through the MSME digitalization program and the provision of technology infrastructure are key to accelerating business transformation. With policy interventions, e-commerce can be a means to encourage inclusive economic growth and increase national competitiveness in the era of globalization. In addition, the increasingly widespread internet penetration in Indonesia is an important supporting factor in strengthening the e-commerce consumer base. Therefore, e-commerce is not just a sales channel, but an ecosystem that has the potential to transform the way MSMEs operate, grow, and compete in the global market.</w:t>
      </w:r>
    </w:p>
    <w:p w14:paraId="076BA589" w14:textId="1C8FE783" w:rsidR="000D3B6D" w:rsidRDefault="000D3B6D" w:rsidP="000D3B6D">
      <w:pPr>
        <w:pStyle w:val="Heading2"/>
      </w:pPr>
      <w:r w:rsidRPr="000D3B6D">
        <w:t>2.3. Fintech, Digital Banking, and Financial Inclusion</w:t>
      </w:r>
    </w:p>
    <w:p w14:paraId="12603C98" w14:textId="77777777" w:rsidR="0001751C" w:rsidRDefault="000D3B6D" w:rsidP="000D3B6D">
      <w:pPr>
        <w:rPr>
          <w:rFonts w:ascii="Garamond" w:hAnsi="Garamond"/>
        </w:rPr>
      </w:pPr>
      <w:r w:rsidRPr="000D3B6D">
        <w:rPr>
          <w:rFonts w:ascii="Garamond" w:hAnsi="Garamond"/>
        </w:rPr>
        <w:t xml:space="preserve">Fintech and digital banking are important components in Indonesia's digital economy ecosystem. Technology-based financial services, such as e-wallets, peer-to-peer (P2P) lending, and digital banks, have expanded access to formal finance for people, especially those who previously did not have bank accounts. According to </w:t>
      </w:r>
      <w:r w:rsidR="0001751C">
        <w:rPr>
          <w:rFonts w:ascii="Garamond" w:hAnsi="Garamond"/>
        </w:rPr>
        <w:t>Cueto et al.</w:t>
      </w:r>
      <w:r w:rsidRPr="000D3B6D">
        <w:rPr>
          <w:rFonts w:ascii="Garamond" w:hAnsi="Garamond"/>
        </w:rPr>
        <w:t xml:space="preserve"> (202</w:t>
      </w:r>
      <w:r w:rsidR="0001751C">
        <w:rPr>
          <w:rFonts w:ascii="Garamond" w:hAnsi="Garamond"/>
        </w:rPr>
        <w:t>2</w:t>
      </w:r>
      <w:r w:rsidRPr="000D3B6D">
        <w:rPr>
          <w:rFonts w:ascii="Garamond" w:hAnsi="Garamond"/>
        </w:rPr>
        <w:t xml:space="preserve">), fintech contributes to the growth of MSMEs by providing faster and more flexible access to capital than traditional financial institutions. This helps MSMEs to develop their businesses while increasing competitiveness in the digital </w:t>
      </w:r>
      <w:r w:rsidRPr="000D3B6D">
        <w:rPr>
          <w:rFonts w:ascii="Garamond" w:hAnsi="Garamond"/>
        </w:rPr>
        <w:lastRenderedPageBreak/>
        <w:t xml:space="preserve">market. Digital banking also plays a role in accelerating the adoption of formal financial services. </w:t>
      </w:r>
    </w:p>
    <w:p w14:paraId="6B683E4D" w14:textId="77E59ED3" w:rsidR="000D3B6D" w:rsidRPr="000D3B6D" w:rsidRDefault="0001751C" w:rsidP="0001751C">
      <w:pPr>
        <w:rPr>
          <w:rFonts w:ascii="Garamond" w:hAnsi="Garamond"/>
        </w:rPr>
      </w:pPr>
      <w:r>
        <w:rPr>
          <w:rFonts w:ascii="Garamond" w:hAnsi="Garamond"/>
        </w:rPr>
        <w:t>Noor</w:t>
      </w:r>
      <w:r w:rsidR="000D3B6D" w:rsidRPr="000D3B6D">
        <w:rPr>
          <w:rFonts w:ascii="Garamond" w:hAnsi="Garamond"/>
        </w:rPr>
        <w:t xml:space="preserve"> et al. (202</w:t>
      </w:r>
      <w:r>
        <w:rPr>
          <w:rFonts w:ascii="Garamond" w:hAnsi="Garamond"/>
        </w:rPr>
        <w:t>0</w:t>
      </w:r>
      <w:r w:rsidR="000D3B6D" w:rsidRPr="000D3B6D">
        <w:rPr>
          <w:rFonts w:ascii="Garamond" w:hAnsi="Garamond"/>
        </w:rPr>
        <w:t xml:space="preserve">) noted that digital banks in Indonesia not only facilitate transactions, but also increase people's financial literacy. </w:t>
      </w:r>
      <w:r>
        <w:rPr>
          <w:rFonts w:ascii="Garamond" w:hAnsi="Garamond"/>
        </w:rPr>
        <w:t xml:space="preserve"> </w:t>
      </w:r>
      <w:r w:rsidR="000D3B6D" w:rsidRPr="000D3B6D">
        <w:rPr>
          <w:rFonts w:ascii="Garamond" w:hAnsi="Garamond"/>
        </w:rPr>
        <w:t>Wider access to formal financial services has implications for increasing national financial inclusion, which is one of the government's strategic targets in economic development. However, the development of fintech and digital banking also presents risks. Data security threats, misuse of online lending services, and low consumer understanding of digital financial risks are the main challenges. Therefore, the success of the fintech sector in supporting the growth of the digital economy depends not only on technological innovation, but also on the existence of adaptive regulations and effective consumer protection. With the right regulations, fintech and digital banking have great potential to strengthen financial inclusion and support sustainable economic growth in Indonesia.</w:t>
      </w:r>
    </w:p>
    <w:bookmarkEnd w:id="1"/>
    <w:p w14:paraId="4E0FC02F" w14:textId="77777777" w:rsidR="003B6899" w:rsidRPr="00D7729F" w:rsidRDefault="003B6899" w:rsidP="003B6899">
      <w:pPr>
        <w:pStyle w:val="Heading1"/>
      </w:pPr>
      <w:r w:rsidRPr="00D7729F">
        <w:t>3. Methods</w:t>
      </w:r>
    </w:p>
    <w:p w14:paraId="120BFA63" w14:textId="77777777" w:rsidR="00A00322" w:rsidRPr="00A00322" w:rsidRDefault="00A00322" w:rsidP="00A00322">
      <w:pPr>
        <w:rPr>
          <w:rFonts w:ascii="Garamond" w:hAnsi="Garamond"/>
        </w:rPr>
      </w:pPr>
      <w:r w:rsidRPr="00A00322">
        <w:rPr>
          <w:rFonts w:ascii="Garamond" w:hAnsi="Garamond"/>
        </w:rPr>
        <w:t xml:space="preserve">This study uses a qualitative approach with an analytical descriptive method that utilizes secondary data as the primary source. This method was chosen because the research aims to understand in depth how the development of the digital economy in Indonesia contributes to national economic growth, MSME transformation, and financial inclusion through fintech and digital banking services. By utilizing secondary data, research can describe the phenomenon of the digital economy based on empirical evidence that has been available from various reliable </w:t>
      </w:r>
      <w:r w:rsidRPr="00A00322">
        <w:rPr>
          <w:rFonts w:ascii="Garamond" w:hAnsi="Garamond"/>
        </w:rPr>
        <w:lastRenderedPageBreak/>
        <w:t>sources, thus providing a broad picture without the need to collect primary data directly. A relevant analytical descriptive approach is used in this context because it allows researchers to explain complex socio-economic phenomena by classifying, comparing, and interpreting existing data.</w:t>
      </w:r>
    </w:p>
    <w:p w14:paraId="7091616F" w14:textId="4302641F" w:rsidR="00A00322" w:rsidRPr="00A00322" w:rsidRDefault="00A00322" w:rsidP="00A00322">
      <w:pPr>
        <w:rPr>
          <w:rFonts w:ascii="Garamond" w:hAnsi="Garamond"/>
        </w:rPr>
      </w:pPr>
      <w:r w:rsidRPr="00A00322">
        <w:rPr>
          <w:rFonts w:ascii="Garamond" w:hAnsi="Garamond"/>
        </w:rPr>
        <w:t>The data sources used in this study came from various national and international institutions. Reports from the Central Statistics Agency (</w:t>
      </w:r>
      <w:r w:rsidR="004B0BD8">
        <w:rPr>
          <w:rFonts w:ascii="Garamond" w:hAnsi="Garamond"/>
          <w:i/>
          <w:iCs/>
          <w:sz w:val="24"/>
          <w:szCs w:val="24"/>
        </w:rPr>
        <w:t xml:space="preserve">Badan Pusat </w:t>
      </w:r>
      <w:proofErr w:type="spellStart"/>
      <w:r w:rsidR="004B0BD8">
        <w:rPr>
          <w:rFonts w:ascii="Garamond" w:hAnsi="Garamond"/>
          <w:i/>
          <w:iCs/>
          <w:sz w:val="24"/>
          <w:szCs w:val="24"/>
        </w:rPr>
        <w:t>Statistik</w:t>
      </w:r>
      <w:proofErr w:type="spellEnd"/>
      <w:r w:rsidR="004B0BD8">
        <w:rPr>
          <w:rFonts w:ascii="Garamond" w:hAnsi="Garamond"/>
          <w:i/>
          <w:iCs/>
          <w:sz w:val="24"/>
          <w:szCs w:val="24"/>
        </w:rPr>
        <w:t xml:space="preserve">/ </w:t>
      </w:r>
      <w:r w:rsidRPr="00A00322">
        <w:rPr>
          <w:rFonts w:ascii="Garamond" w:hAnsi="Garamond"/>
        </w:rPr>
        <w:t>BPS) are used to determine the contribution of the digital sector to Indonesia's Gross Domestic Product (GDP), while data from the Indonesian Internet Service Providers Association (APJII) is used to illustrate the development of the number of internet users which is the basis for the growth of the digital economy. In addition, research reports from Google</w:t>
      </w:r>
      <w:r w:rsidR="00F744EF">
        <w:rPr>
          <w:rFonts w:ascii="Garamond" w:hAnsi="Garamond"/>
        </w:rPr>
        <w:t xml:space="preserve"> et al. </w:t>
      </w:r>
      <w:r w:rsidRPr="00A00322">
        <w:rPr>
          <w:rFonts w:ascii="Garamond" w:hAnsi="Garamond"/>
        </w:rPr>
        <w:t>(2022) are also used as the main reference in analyzing the projected value of Indonesia's digital economy in Southeast Asia. To strengthen the validity, this study also refers to academic literature published in international journals indexed by Google Scholar, especially those that discuss the development of e-commerce, MSMEs, fintech, and digital banking in Indonesia. The data used includes quantitative information, such as digital transaction growth statistics, as well as qualitative information, such as analysis of government policies and the socio-economic impact of digitalization.</w:t>
      </w:r>
    </w:p>
    <w:p w14:paraId="1453C561" w14:textId="7815AD6C" w:rsidR="00A00322" w:rsidRPr="00A00322" w:rsidRDefault="00A00322" w:rsidP="00A00322">
      <w:pPr>
        <w:rPr>
          <w:rFonts w:ascii="Garamond" w:hAnsi="Garamond"/>
        </w:rPr>
      </w:pPr>
      <w:r w:rsidRPr="00A00322">
        <w:rPr>
          <w:rFonts w:ascii="Garamond" w:hAnsi="Garamond"/>
        </w:rPr>
        <w:t xml:space="preserve">The data collection process is carried out through literature studies by browsing journal articles, research reports, and government policy documents relevant to the research topic. The criteria for selecting sources are based on the credibility of the publishing institution, relevance to the digital economy, as well as the up-to-date of the data, where only the most recent articles and reports are used. </w:t>
      </w:r>
      <w:r w:rsidRPr="00A00322">
        <w:rPr>
          <w:rFonts w:ascii="Garamond" w:hAnsi="Garamond"/>
        </w:rPr>
        <w:lastRenderedPageBreak/>
        <w:t>Thus, the data analyzed in this study can be ensured to be up-to-date and relevant to the latest developments. To ensure the accuracy and completeness of the data, triangulation is carried out by comparing information from various sources. For example, data on the contribution of the digital economy to GDP is compared between BPS publications and international industry reports, so that more objective and comprehensive conclusions are obtained.</w:t>
      </w:r>
    </w:p>
    <w:p w14:paraId="6CC7DCFF" w14:textId="77777777" w:rsidR="00A00322" w:rsidRPr="00A00322" w:rsidRDefault="00A00322" w:rsidP="00A00322">
      <w:pPr>
        <w:rPr>
          <w:rFonts w:ascii="Garamond" w:hAnsi="Garamond"/>
        </w:rPr>
      </w:pPr>
      <w:r w:rsidRPr="00A00322">
        <w:rPr>
          <w:rFonts w:ascii="Garamond" w:hAnsi="Garamond"/>
        </w:rPr>
        <w:t>Data analysis was carried out with a descriptive approach. First, the data collected is classified based on the main categories, namely the development of the digital economy on a macro level, the transformation of MSMEs through e-commerce, and the development of fintech and digital banking that support financial inclusion. Second, data from various sources is compared to see the consistency of trends, for example by comparing e-commerce transaction data according to national and international reports. Third, the data is interpreted to explain the real impacts that arise, both positive impacts in the form of job creation, increasing digital literacy, and expanding market access, as well as negative impacts in the form of digital divides, increasingly fierce business competition, and data security risks.</w:t>
      </w:r>
    </w:p>
    <w:p w14:paraId="4D4CB360" w14:textId="64C41C2F" w:rsidR="003B6899" w:rsidRPr="006A14CA" w:rsidRDefault="00A00322" w:rsidP="00A00322">
      <w:pPr>
        <w:rPr>
          <w:rFonts w:ascii="Garamond" w:hAnsi="Garamond"/>
        </w:rPr>
      </w:pPr>
      <w:r w:rsidRPr="00A00322">
        <w:rPr>
          <w:rFonts w:ascii="Garamond" w:hAnsi="Garamond"/>
        </w:rPr>
        <w:t xml:space="preserve">The use of descriptive analysis methods with secondary data was chosen because it has several advantages. This method allows research to obtain a broad picture at a more cost-efficient and time-efficient time, as well as utilize data that has been tested for validity. However, this method also has limitations because not all aspects of socio-economic phenomena can be studied in depth, especially those that require primary data from surveys or direct observations. To minimize these limitations, this study only uses data from reliable sources, both national and </w:t>
      </w:r>
      <w:r w:rsidRPr="00A00322">
        <w:rPr>
          <w:rFonts w:ascii="Garamond" w:hAnsi="Garamond"/>
        </w:rPr>
        <w:lastRenderedPageBreak/>
        <w:t>international, and ensures that the data used complements and supports the analysis. Thus, the research methods used are expected to produce an objective understanding of the role of the digital economy in encouraging Indonesia's economic growth.</w:t>
      </w:r>
    </w:p>
    <w:p w14:paraId="4C90EA94" w14:textId="77777777" w:rsidR="003B6899" w:rsidRPr="00D7729F" w:rsidRDefault="003B6899" w:rsidP="003B6899">
      <w:pPr>
        <w:pStyle w:val="Heading1"/>
      </w:pPr>
      <w:r w:rsidRPr="00D7729F">
        <w:t>4. Results</w:t>
      </w:r>
    </w:p>
    <w:p w14:paraId="1B1B40B5" w14:textId="77777777" w:rsidR="00A00322" w:rsidRPr="00A00322" w:rsidRDefault="00A00322" w:rsidP="00A00322">
      <w:pPr>
        <w:rPr>
          <w:rFonts w:ascii="Garamond" w:hAnsi="Garamond"/>
        </w:rPr>
      </w:pPr>
      <w:r w:rsidRPr="00A00322">
        <w:rPr>
          <w:rFonts w:ascii="Garamond" w:hAnsi="Garamond"/>
        </w:rPr>
        <w:t>The development of the digital economy in Indonesia in the last five years has shown a very rapid trend and has made a significant contribution to the national economy. Based on BPS reports and various recent researches, the digital economy is now one of the important pillars that drive Gross Domestic Product (GDP) growth. This phenomenon cannot be separated from the increasing penetration of the internet, the development of financial technology, and the rise of e-commerce activities that change people's consumption patterns. According to APJII data, the number of internet users in Indonesia continues to increase to exceed 210 million people in 2022, making Indonesia one of the largest digital markets in Southeast Asia. This has a direct impact on increasing the value of digital transactions, both in the form of online commerce and technology-based financial services.</w:t>
      </w:r>
    </w:p>
    <w:p w14:paraId="7F8E200B" w14:textId="2F1CF35C" w:rsidR="00A00322" w:rsidRPr="00A00322" w:rsidRDefault="00A00322" w:rsidP="00A00322">
      <w:pPr>
        <w:rPr>
          <w:rFonts w:ascii="Garamond" w:hAnsi="Garamond"/>
        </w:rPr>
      </w:pPr>
      <w:r w:rsidRPr="00A00322">
        <w:rPr>
          <w:rFonts w:ascii="Garamond" w:hAnsi="Garamond"/>
        </w:rPr>
        <w:t>The contribution of the digital sector to Indonesia's GDP also continues to increase significantly. A report by Google</w:t>
      </w:r>
      <w:r w:rsidR="00F744EF">
        <w:rPr>
          <w:rFonts w:ascii="Garamond" w:hAnsi="Garamond"/>
        </w:rPr>
        <w:t xml:space="preserve"> et al.</w:t>
      </w:r>
      <w:r w:rsidRPr="00A00322">
        <w:rPr>
          <w:rFonts w:ascii="Garamond" w:hAnsi="Garamond"/>
        </w:rPr>
        <w:t xml:space="preserve"> (2022) estimates that the value of Indonesia's digital economy will reach more than 77 billion US dollars in 202</w:t>
      </w:r>
      <w:r w:rsidR="009D3D59">
        <w:rPr>
          <w:rFonts w:ascii="Garamond" w:hAnsi="Garamond"/>
        </w:rPr>
        <w:t>0</w:t>
      </w:r>
      <w:r w:rsidRPr="00A00322">
        <w:rPr>
          <w:rFonts w:ascii="Garamond" w:hAnsi="Garamond"/>
        </w:rPr>
        <w:t xml:space="preserve"> and has the potential to reach 130 billion US dollars by 202</w:t>
      </w:r>
      <w:r w:rsidR="009D3D59">
        <w:rPr>
          <w:rFonts w:ascii="Garamond" w:hAnsi="Garamond"/>
        </w:rPr>
        <w:t>2</w:t>
      </w:r>
      <w:r w:rsidRPr="00A00322">
        <w:rPr>
          <w:rFonts w:ascii="Garamond" w:hAnsi="Garamond"/>
        </w:rPr>
        <w:t xml:space="preserve">. This figure makes Indonesia a dominant player in Southeast Asia's digital economy. Research by Susanti et al. (2021) also shows that the contribution of the e-commerce sector to the economy </w:t>
      </w:r>
      <w:r w:rsidRPr="00A00322">
        <w:rPr>
          <w:rFonts w:ascii="Garamond" w:hAnsi="Garamond"/>
        </w:rPr>
        <w:lastRenderedPageBreak/>
        <w:t>lies not only in increasing transactions, but also in creating multiple effects in the form of new jobs, innovative business opportunities, and increasing people's financial inclusion. Thus, the development of the digital economy has become one of the new growth engines for the Indonesian economy in the post-pandemic era.</w:t>
      </w:r>
    </w:p>
    <w:p w14:paraId="0A7030FF" w14:textId="77938580" w:rsidR="00A00322" w:rsidRPr="00A00322" w:rsidRDefault="00A00322" w:rsidP="00A00322">
      <w:pPr>
        <w:rPr>
          <w:rFonts w:ascii="Garamond" w:hAnsi="Garamond"/>
        </w:rPr>
      </w:pPr>
      <w:r w:rsidRPr="00A00322">
        <w:rPr>
          <w:rFonts w:ascii="Garamond" w:hAnsi="Garamond"/>
        </w:rPr>
        <w:t xml:space="preserve">The role of MSMEs in Indonesia's digital economy is also a very important factor. MSMEs, which have been the backbone of the national economy, are now increasingly encouraged to transform towards digital. Marketplace platforms such as Shopee, Tokopedia, and Lazada provide space for MSMEs to expand their market reach, not only domestically, but also internationally. A study by </w:t>
      </w:r>
      <w:r w:rsidR="0001751C">
        <w:rPr>
          <w:rFonts w:ascii="Garamond" w:hAnsi="Garamond"/>
        </w:rPr>
        <w:t>Cuento</w:t>
      </w:r>
      <w:r w:rsidRPr="00A00322">
        <w:rPr>
          <w:rFonts w:ascii="Garamond" w:hAnsi="Garamond"/>
        </w:rPr>
        <w:t xml:space="preserve"> </w:t>
      </w:r>
      <w:r w:rsidR="0001751C">
        <w:rPr>
          <w:rFonts w:ascii="Garamond" w:hAnsi="Garamond"/>
        </w:rPr>
        <w:t xml:space="preserve">et al. </w:t>
      </w:r>
      <w:r w:rsidRPr="00A00322">
        <w:rPr>
          <w:rFonts w:ascii="Garamond" w:hAnsi="Garamond"/>
        </w:rPr>
        <w:t>(202</w:t>
      </w:r>
      <w:r w:rsidR="0001751C">
        <w:rPr>
          <w:rFonts w:ascii="Garamond" w:hAnsi="Garamond"/>
        </w:rPr>
        <w:t>2</w:t>
      </w:r>
      <w:r w:rsidRPr="00A00322">
        <w:rPr>
          <w:rFonts w:ascii="Garamond" w:hAnsi="Garamond"/>
        </w:rPr>
        <w:t>) shows that MSMEs that digitize through e-commerce experience an increase in turnover up to 30% higher than MSMEs that are still operating conventionally. The digital transformation of MSMEs is also driven by government policies through the National Proud of Made in Indonesia (BBI) program, which aims to accelerate the adoption of digital technology by small and medium business actors. However, behind these great opportunities, the challenges faced by MSMEs are also quite large, especially related to limited digital literacy, lack of access to capital, and fierce competition with larger, more established companies.</w:t>
      </w:r>
    </w:p>
    <w:p w14:paraId="0D1468CD" w14:textId="7844FFC6" w:rsidR="00A00322" w:rsidRPr="00A00322" w:rsidRDefault="00A00322" w:rsidP="00A00322">
      <w:pPr>
        <w:rPr>
          <w:rFonts w:ascii="Garamond" w:hAnsi="Garamond"/>
        </w:rPr>
      </w:pPr>
      <w:r w:rsidRPr="00A00322">
        <w:rPr>
          <w:rFonts w:ascii="Garamond" w:hAnsi="Garamond"/>
        </w:rPr>
        <w:t xml:space="preserve">In addition to electronic commerce, the development of the digital economy is also greatly influenced by the advancement of fintech and digital banking. Fintech in Indonesia has experienced a significant surge, especially in digital payment services, peer-to-peer lending, and application-based investments. According to research by </w:t>
      </w:r>
      <w:proofErr w:type="spellStart"/>
      <w:r w:rsidR="0001751C" w:rsidRPr="0001751C">
        <w:rPr>
          <w:rFonts w:ascii="Garamond" w:hAnsi="Garamond"/>
        </w:rPr>
        <w:t>Nugraha</w:t>
      </w:r>
      <w:proofErr w:type="spellEnd"/>
      <w:r w:rsidR="0001751C">
        <w:rPr>
          <w:rFonts w:ascii="Garamond" w:hAnsi="Garamond"/>
        </w:rPr>
        <w:t xml:space="preserve"> et al.</w:t>
      </w:r>
      <w:r w:rsidRPr="00A00322">
        <w:rPr>
          <w:rFonts w:ascii="Garamond" w:hAnsi="Garamond"/>
        </w:rPr>
        <w:t xml:space="preserve"> (202</w:t>
      </w:r>
      <w:r w:rsidR="0001751C">
        <w:rPr>
          <w:rFonts w:ascii="Garamond" w:hAnsi="Garamond"/>
        </w:rPr>
        <w:t>2</w:t>
      </w:r>
      <w:r w:rsidRPr="00A00322">
        <w:rPr>
          <w:rFonts w:ascii="Garamond" w:hAnsi="Garamond"/>
        </w:rPr>
        <w:t xml:space="preserve">), the use of fintech services has helped expand financial inclusion, especially for people who previously did not have access to </w:t>
      </w:r>
      <w:r w:rsidRPr="00A00322">
        <w:rPr>
          <w:rFonts w:ascii="Garamond" w:hAnsi="Garamond"/>
        </w:rPr>
        <w:lastRenderedPageBreak/>
        <w:t>formal banking services. This is in line with the efforts of the Financial Services Authority (</w:t>
      </w:r>
      <w:proofErr w:type="spellStart"/>
      <w:r w:rsidR="00674299">
        <w:rPr>
          <w:rFonts w:ascii="Garamond" w:hAnsi="Garamond"/>
          <w:i/>
          <w:iCs/>
        </w:rPr>
        <w:t>Otoritas</w:t>
      </w:r>
      <w:proofErr w:type="spellEnd"/>
      <w:r w:rsidR="00674299">
        <w:rPr>
          <w:rFonts w:ascii="Garamond" w:hAnsi="Garamond"/>
          <w:i/>
          <w:iCs/>
        </w:rPr>
        <w:t xml:space="preserve"> Jasa Keuangan/</w:t>
      </w:r>
      <w:r w:rsidRPr="00A00322">
        <w:rPr>
          <w:rFonts w:ascii="Garamond" w:hAnsi="Garamond"/>
        </w:rPr>
        <w:t>OJK) to encourage the development of digital finance to support the stability of the national financial system. The growth of digital banking is also very rapid, with the emergence of pure digital banks such as Jenius, Bank Jago, and SeaBank, which offer ease of transactions, low fees, and features that suit the lifestyle of the digital society.</w:t>
      </w:r>
    </w:p>
    <w:p w14:paraId="630542DB" w14:textId="51C1E2C2" w:rsidR="00A00322" w:rsidRPr="00A00322" w:rsidRDefault="00A00322" w:rsidP="00A00322">
      <w:pPr>
        <w:rPr>
          <w:rFonts w:ascii="Garamond" w:hAnsi="Garamond"/>
        </w:rPr>
      </w:pPr>
      <w:r w:rsidRPr="00A00322">
        <w:rPr>
          <w:rFonts w:ascii="Garamond" w:hAnsi="Garamond"/>
        </w:rPr>
        <w:t xml:space="preserve">The socio-economic impact of the development of the digital economy in Indonesia can be seen in changes in people's consumption behavior. Consumers are increasingly accustomed to transacting online, both for primary and secondary needs. According to </w:t>
      </w:r>
      <w:r w:rsidR="009D3D59">
        <w:rPr>
          <w:rFonts w:ascii="Garamond" w:hAnsi="Garamond"/>
        </w:rPr>
        <w:t>Grewal</w:t>
      </w:r>
      <w:r w:rsidRPr="00A00322">
        <w:rPr>
          <w:rFonts w:ascii="Garamond" w:hAnsi="Garamond"/>
        </w:rPr>
        <w:t xml:space="preserve"> et al. (202</w:t>
      </w:r>
      <w:r w:rsidR="009D3D59">
        <w:rPr>
          <w:rFonts w:ascii="Garamond" w:hAnsi="Garamond"/>
        </w:rPr>
        <w:t>1</w:t>
      </w:r>
      <w:r w:rsidRPr="00A00322">
        <w:rPr>
          <w:rFonts w:ascii="Garamond" w:hAnsi="Garamond"/>
        </w:rPr>
        <w:t>), this change is driven by convenience factors, product variety, and various promos offered by digital platforms. On the other hand, there are also negative impacts, such as excessive consumptive behavior that is vulnerable to individual financial crises. In addition, the rise of digital transactions also raises new problems in terms of data security and privacy. Research by Seldal and Nyhus (2022) noted that cases of digital fraud and personal data leakage are increasing along with the rapid growth of online transactions, posing serious challenges for governments and industry players.</w:t>
      </w:r>
    </w:p>
    <w:p w14:paraId="5BE2C936" w14:textId="77777777" w:rsidR="00A00322" w:rsidRPr="00A00322" w:rsidRDefault="00A00322" w:rsidP="00A00322">
      <w:pPr>
        <w:rPr>
          <w:rFonts w:ascii="Garamond" w:hAnsi="Garamond"/>
        </w:rPr>
      </w:pPr>
      <w:r w:rsidRPr="00A00322">
        <w:rPr>
          <w:rFonts w:ascii="Garamond" w:hAnsi="Garamond"/>
        </w:rPr>
        <w:t xml:space="preserve">The development of the digital economy also creates new job opportunities in various sectors. Many new professions, such as digital marketers, data analysts, and content creators, are an important part of the digital ecosystem. This not only provides opportunities for the younger generation, but also increases the competitiveness of the Indonesian workforce in the global arena. A study by </w:t>
      </w:r>
      <w:proofErr w:type="spellStart"/>
      <w:r w:rsidRPr="00A00322">
        <w:rPr>
          <w:rFonts w:ascii="Garamond" w:hAnsi="Garamond"/>
        </w:rPr>
        <w:t>Suryanto</w:t>
      </w:r>
      <w:proofErr w:type="spellEnd"/>
      <w:r w:rsidRPr="00A00322">
        <w:rPr>
          <w:rFonts w:ascii="Garamond" w:hAnsi="Garamond"/>
        </w:rPr>
        <w:t xml:space="preserve"> (2022) shows that the digital economy has the potential to create millions </w:t>
      </w:r>
      <w:r w:rsidRPr="00A00322">
        <w:rPr>
          <w:rFonts w:ascii="Garamond" w:hAnsi="Garamond"/>
        </w:rPr>
        <w:lastRenderedPageBreak/>
        <w:t>of new jobs, especially in the information technology, logistics, and creative industries sectors. However, the digital divide is still a major challenge, especially for people in rural areas who do not yet fully have access to fast and affordable internet. This condition can widen social inequality if not seriously addressed through inclusive policies.</w:t>
      </w:r>
    </w:p>
    <w:p w14:paraId="6E8420E8" w14:textId="7DBF835B" w:rsidR="003B6899" w:rsidRPr="006A14CA" w:rsidRDefault="00A00322" w:rsidP="0001751C">
      <w:pPr>
        <w:rPr>
          <w:rFonts w:ascii="Garamond" w:hAnsi="Garamond"/>
        </w:rPr>
      </w:pPr>
      <w:r w:rsidRPr="00A00322">
        <w:rPr>
          <w:rFonts w:ascii="Garamond" w:hAnsi="Garamond"/>
        </w:rPr>
        <w:t xml:space="preserve">In addition to the access gap, another challenge faced is the low digital literacy among the community. Many MSME actors are still experiencing difficulties in utilizing digital technology optimally. This is reinforced by the findings of the research of </w:t>
      </w:r>
      <w:r w:rsidR="0001751C" w:rsidRPr="0001751C">
        <w:rPr>
          <w:rFonts w:ascii="Garamond" w:hAnsi="Garamond"/>
        </w:rPr>
        <w:t>Betts</w:t>
      </w:r>
      <w:r w:rsidRPr="00A00322">
        <w:rPr>
          <w:rFonts w:ascii="Garamond" w:hAnsi="Garamond"/>
        </w:rPr>
        <w:t xml:space="preserve"> et al. (20</w:t>
      </w:r>
      <w:r w:rsidR="0001751C">
        <w:rPr>
          <w:rFonts w:ascii="Garamond" w:hAnsi="Garamond"/>
        </w:rPr>
        <w:t>19</w:t>
      </w:r>
      <w:r w:rsidRPr="00A00322">
        <w:rPr>
          <w:rFonts w:ascii="Garamond" w:hAnsi="Garamond"/>
        </w:rPr>
        <w:t>), which show that although access to digital technology is getting wider, the level of understanding and ability of people to use this technology is still limited. Therefore, government and related institutional support in the form of digital literacy training is very important so that the benefits of the digital economy can be felt more evenly.</w:t>
      </w:r>
      <w:r w:rsidR="0001751C">
        <w:rPr>
          <w:rFonts w:ascii="Garamond" w:hAnsi="Garamond"/>
        </w:rPr>
        <w:t xml:space="preserve"> </w:t>
      </w:r>
      <w:r>
        <w:rPr>
          <w:rFonts w:ascii="Garamond" w:hAnsi="Garamond"/>
        </w:rPr>
        <w:t>The results of this study show that the digital economy in Indonesia has a huge and multi-dimensional impact. From the economic side, its contribution to national GDP continues to increase, MSMEs are increasingly encouraged to transform, and financial inclusion is becoming wider. From the social side, new job opportunities and changes in people's consumption behavior have emerged. However, on the other hand, negative risks also emerge, including the digital divide, data security threats, and increasing consumerism. Therefore, a comprehensive strategy involving the government, the private sector, and society is needed to ensure that the development of the digital economy can provide optimal benefits while minimizing existing risks.</w:t>
      </w:r>
    </w:p>
    <w:p w14:paraId="4E681903" w14:textId="77777777" w:rsidR="003B6899" w:rsidRPr="00D7729F" w:rsidRDefault="003B6899" w:rsidP="003B6899">
      <w:pPr>
        <w:pStyle w:val="Heading1"/>
        <w:rPr>
          <w:lang w:val="id"/>
        </w:rPr>
      </w:pPr>
      <w:r w:rsidRPr="00D7729F">
        <w:lastRenderedPageBreak/>
        <w:t>5. Discussion</w:t>
      </w:r>
    </w:p>
    <w:p w14:paraId="0EF0DC09" w14:textId="633F0DE9" w:rsidR="00A00322" w:rsidRPr="00A00322" w:rsidRDefault="00A00322" w:rsidP="003F297B">
      <w:pPr>
        <w:rPr>
          <w:rFonts w:ascii="Garamond" w:hAnsi="Garamond"/>
        </w:rPr>
      </w:pPr>
      <w:r w:rsidRPr="00A00322">
        <w:rPr>
          <w:rFonts w:ascii="Garamond" w:hAnsi="Garamond"/>
        </w:rPr>
        <w:t>The results of the study show that the development of the digital economy in Indonesia has had a significant impact, both economically and socially. Its contribution to national GDP, the transformation of MSMEs through marketplaces, and increasing financial inclusion through fintech and digital banking, all show that the digital economy has great potential as a new growth engine. One of the positive influences that has a big impact on the development of communication media as advice in conducting economic transactions is that it can provide such great progress in the field of knowledge, provide convenience in economic transactions, in an easy-to-understand way that can make it easier for a person to get a desired product that is used as a new way for people to carry out activities (Maria &amp; Widiyati,  2020). However, these positive impacts are inseparable from various challenges that need to be anticipated so that the benefits can be felt in an inclusive and sustainable manner.</w:t>
      </w:r>
    </w:p>
    <w:p w14:paraId="49360AA7" w14:textId="25B86367" w:rsidR="00A00322" w:rsidRPr="00A00322" w:rsidRDefault="00A00322" w:rsidP="00A00322">
      <w:pPr>
        <w:rPr>
          <w:rFonts w:ascii="Garamond" w:hAnsi="Garamond"/>
        </w:rPr>
      </w:pPr>
      <w:r w:rsidRPr="00A00322">
        <w:rPr>
          <w:rFonts w:ascii="Garamond" w:hAnsi="Garamond"/>
        </w:rPr>
        <w:t xml:space="preserve">First, from a macroeconomic perspective, these findings strengthen the argument that digitalization is a major driver of modern economic growth. Research by </w:t>
      </w:r>
      <w:r w:rsidR="0001751C">
        <w:rPr>
          <w:rFonts w:ascii="Garamond" w:hAnsi="Garamond"/>
        </w:rPr>
        <w:t>Chen</w:t>
      </w:r>
      <w:r w:rsidRPr="00A00322">
        <w:rPr>
          <w:rFonts w:ascii="Garamond" w:hAnsi="Garamond"/>
        </w:rPr>
        <w:t xml:space="preserve"> (202</w:t>
      </w:r>
      <w:r w:rsidR="0001751C">
        <w:rPr>
          <w:rFonts w:ascii="Garamond" w:hAnsi="Garamond"/>
        </w:rPr>
        <w:t>0</w:t>
      </w:r>
      <w:r w:rsidRPr="00A00322">
        <w:rPr>
          <w:rFonts w:ascii="Garamond" w:hAnsi="Garamond"/>
        </w:rPr>
        <w:t>) emphasizes that the digital economy is able to increase efficiency, expand market access, and accelerate the flow of information in economic transactions. This is in line with research results that show that the value of Indonesia's digital economy is projected to reach 130 billion US dollars by 202</w:t>
      </w:r>
      <w:r w:rsidR="009D3D59">
        <w:rPr>
          <w:rFonts w:ascii="Garamond" w:hAnsi="Garamond"/>
        </w:rPr>
        <w:t>2</w:t>
      </w:r>
      <w:r w:rsidRPr="00A00322">
        <w:rPr>
          <w:rFonts w:ascii="Garamond" w:hAnsi="Garamond"/>
        </w:rPr>
        <w:t xml:space="preserve">. Nevertheless, challenges arise in the form of regulations and infrastructure. Equitable internet access, especially in rural areas, is still a classic problem that if not addressed will widen the gap between urban and rural areas. Therefore, digital </w:t>
      </w:r>
      <w:r w:rsidRPr="00A00322">
        <w:rPr>
          <w:rFonts w:ascii="Garamond" w:hAnsi="Garamond"/>
        </w:rPr>
        <w:lastRenderedPageBreak/>
        <w:t>infrastructure development strategies need to be prioritized so that digital economy growth is not only concentrated in big cities, but also reaches remote areas.</w:t>
      </w:r>
    </w:p>
    <w:p w14:paraId="39438A27" w14:textId="6443DC49" w:rsidR="00A00322" w:rsidRPr="00A00322" w:rsidRDefault="00A00322" w:rsidP="00A00322">
      <w:pPr>
        <w:rPr>
          <w:rFonts w:ascii="Garamond" w:hAnsi="Garamond"/>
        </w:rPr>
      </w:pPr>
      <w:r w:rsidRPr="00A00322">
        <w:rPr>
          <w:rFonts w:ascii="Garamond" w:hAnsi="Garamond"/>
        </w:rPr>
        <w:t xml:space="preserve">Second, the role of MSMEs in the digital ecosystem is proof that digitalization is able to change the face of the national economy. Marketplaces provide opportunities for MSMEs to penetrate a wider market, even internationally. However, as shown by research by </w:t>
      </w:r>
      <w:r w:rsidR="0001751C" w:rsidRPr="0001751C">
        <w:rPr>
          <w:rFonts w:ascii="Garamond" w:hAnsi="Garamond"/>
        </w:rPr>
        <w:t>Betts</w:t>
      </w:r>
      <w:r w:rsidRPr="00A00322">
        <w:rPr>
          <w:rFonts w:ascii="Garamond" w:hAnsi="Garamond"/>
        </w:rPr>
        <w:t xml:space="preserve"> et al. (20</w:t>
      </w:r>
      <w:r w:rsidR="0001751C">
        <w:rPr>
          <w:rFonts w:ascii="Garamond" w:hAnsi="Garamond"/>
        </w:rPr>
        <w:t>19</w:t>
      </w:r>
      <w:r w:rsidRPr="00A00322">
        <w:rPr>
          <w:rFonts w:ascii="Garamond" w:hAnsi="Garamond"/>
        </w:rPr>
        <w:t>), low digital literacy and limited access to capital are the main obstacles in the adoption of technology by MSMEs. These findings are in line with the results of research that show that although there is an increase in turnover in MSMEs that are digitally transformed, not all business actors are able to follow this trend. Therefore, this discussion emphasizes the importance of policy interventions in the form of digital literacy training, technical assistance, and access to inclusive financing so that MSMEs can optimally utilize the potential of the digital economy.</w:t>
      </w:r>
    </w:p>
    <w:p w14:paraId="6F17B9B4" w14:textId="20BCBFD9" w:rsidR="00A00322" w:rsidRPr="00A00322" w:rsidRDefault="00A00322" w:rsidP="00A00322">
      <w:pPr>
        <w:rPr>
          <w:rFonts w:ascii="Garamond" w:hAnsi="Garamond"/>
        </w:rPr>
      </w:pPr>
      <w:r w:rsidRPr="00A00322">
        <w:rPr>
          <w:rFonts w:ascii="Garamond" w:hAnsi="Garamond"/>
        </w:rPr>
        <w:t xml:space="preserve">Third, in terms of financial inclusion, fintech and digital banking have proven to be able to expand people's access to financial services. Research by </w:t>
      </w:r>
      <w:proofErr w:type="spellStart"/>
      <w:r w:rsidR="0001751C" w:rsidRPr="0001751C">
        <w:rPr>
          <w:rFonts w:ascii="Garamond" w:hAnsi="Garamond"/>
        </w:rPr>
        <w:t>Nugraha</w:t>
      </w:r>
      <w:proofErr w:type="spellEnd"/>
      <w:r w:rsidR="0001751C">
        <w:rPr>
          <w:rFonts w:ascii="Garamond" w:hAnsi="Garamond"/>
        </w:rPr>
        <w:t xml:space="preserve"> et al.</w:t>
      </w:r>
      <w:r w:rsidRPr="00A00322">
        <w:rPr>
          <w:rFonts w:ascii="Garamond" w:hAnsi="Garamond"/>
        </w:rPr>
        <w:t xml:space="preserve"> (202</w:t>
      </w:r>
      <w:r w:rsidR="0001751C">
        <w:rPr>
          <w:rFonts w:ascii="Garamond" w:hAnsi="Garamond"/>
        </w:rPr>
        <w:t>2</w:t>
      </w:r>
      <w:r w:rsidRPr="00A00322">
        <w:rPr>
          <w:rFonts w:ascii="Garamond" w:hAnsi="Garamond"/>
        </w:rPr>
        <w:t xml:space="preserve">) underlines that fintech services have reached segments of society that were previously not served by conventional banks, thereby supporting inclusive development goals. The findings of this study also confirm that pure digital banks are increasingly in demand because they offer convenience, speed, and low costs. However, the discussion should also highlight the emerging risks, namely the increasing cases of digital fraud, misuse of personal data, and cybersecurity threats. This risk, if not anticipated, can reduce public trust in the digital ecosystem, thereby </w:t>
      </w:r>
      <w:r w:rsidRPr="00A00322">
        <w:rPr>
          <w:rFonts w:ascii="Garamond" w:hAnsi="Garamond"/>
        </w:rPr>
        <w:lastRenderedPageBreak/>
        <w:t>hindering long-term development. Therefore, strengthening data security regulations and consumer protection is very important.</w:t>
      </w:r>
    </w:p>
    <w:p w14:paraId="7C3C2FCA" w14:textId="76618355" w:rsidR="00A00322" w:rsidRPr="00A00322" w:rsidRDefault="00A00322" w:rsidP="00A00322">
      <w:pPr>
        <w:rPr>
          <w:rFonts w:ascii="Garamond" w:hAnsi="Garamond"/>
        </w:rPr>
      </w:pPr>
      <w:r w:rsidRPr="00A00322">
        <w:rPr>
          <w:rFonts w:ascii="Garamond" w:hAnsi="Garamond"/>
        </w:rPr>
        <w:t>In addition to economic and financial factors, this discussion also highlighted the social impact that arises from the development of the digital economy. Changes in people's consumption behavior towards online transactions have positive consequences in the form of efficiency and variety of product choices, but also encourage excessive consumption patterns. Research by Seldal and Nyhus (2022) shows that the increase in digital transactions is directly proportional to the emergence of individual financial risks, especially for people with low financial literacy. This is an important note that the development of the digital economy should not only be seen in terms of the growth of transaction numbers, but also from how people are able to manage digital consumption wisely.</w:t>
      </w:r>
    </w:p>
    <w:p w14:paraId="0A9458F1" w14:textId="6A9584F0" w:rsidR="003B6899" w:rsidRPr="00955D3C" w:rsidRDefault="00A00322" w:rsidP="00A00322">
      <w:pPr>
        <w:rPr>
          <w:rFonts w:ascii="Garamond" w:hAnsi="Garamond"/>
        </w:rPr>
      </w:pPr>
      <w:r w:rsidRPr="00A00322">
        <w:rPr>
          <w:rFonts w:ascii="Garamond" w:hAnsi="Garamond"/>
        </w:rPr>
        <w:t>Overall, this discussion confirmed that the digital economy in Indonesia is on a promising growth path, but faces various fundamental challenges. The government, the private sector, and the community must work together to optimize opportunities while minimizing risks. The government needs to strengthen digital security regulations and expand internet infrastructure, the private sector needs to innovate in inclusive technology-based services, while people need to increase digital literacy in order to participate effectively. With this comprehensive approach, the development of the digital economy is not only a driver of economic growth, but also an important instrument in improving national welfare equally.</w:t>
      </w:r>
    </w:p>
    <w:p w14:paraId="7824C8A6" w14:textId="77777777" w:rsidR="003B6899" w:rsidRPr="00D7729F" w:rsidRDefault="003B6899" w:rsidP="003B6899">
      <w:pPr>
        <w:pStyle w:val="Heading1"/>
      </w:pPr>
      <w:r w:rsidRPr="00D7729F">
        <w:lastRenderedPageBreak/>
        <w:t>6. Conclusion</w:t>
      </w:r>
    </w:p>
    <w:p w14:paraId="74EEC8F7" w14:textId="42499E92" w:rsidR="00674299" w:rsidRDefault="00A00322" w:rsidP="00674299">
      <w:pPr>
        <w:rPr>
          <w:rFonts w:ascii="Garamond" w:hAnsi="Garamond"/>
        </w:rPr>
      </w:pPr>
      <w:r w:rsidRPr="00A00322">
        <w:rPr>
          <w:rFonts w:ascii="Garamond" w:hAnsi="Garamond"/>
        </w:rPr>
        <w:t>This study concludes that the digital economy has become one of the important pillars in Indonesia's economic growth in the era of technological transformation. The development of e-commerce, fintech, and digital banking shows a real contribution to increasing GDP, job creation, and expanding market access for MSMEs. Secondary data collected from BPS, APJII, and international research reports show that the potential of Indonesia's digital economy is huge, with a projected reach of 130 billion US dollars by 202</w:t>
      </w:r>
      <w:r w:rsidR="009D3D59">
        <w:rPr>
          <w:rFonts w:ascii="Garamond" w:hAnsi="Garamond"/>
        </w:rPr>
        <w:t>2</w:t>
      </w:r>
      <w:r w:rsidRPr="00A00322">
        <w:rPr>
          <w:rFonts w:ascii="Garamond" w:hAnsi="Garamond"/>
        </w:rPr>
        <w:t>. This shows that digitalization is not just a temporary trend, but a structural transition in the national economy.</w:t>
      </w:r>
      <w:r w:rsidR="00674299">
        <w:rPr>
          <w:rFonts w:ascii="Garamond" w:hAnsi="Garamond"/>
        </w:rPr>
        <w:t xml:space="preserve"> </w:t>
      </w:r>
      <w:r w:rsidRPr="00A00322">
        <w:rPr>
          <w:rFonts w:ascii="Garamond" w:hAnsi="Garamond"/>
        </w:rPr>
        <w:t xml:space="preserve">In addition to the positive impact, this study also highlights the challenges that must be faced in order for the growth of the digital economy to be sustainable. Obstacles in the form of low digital literacy among MSME actors, gaps in internet access between regions, and data security risks are strategic issues that require serious attention. </w:t>
      </w:r>
    </w:p>
    <w:p w14:paraId="363283DD" w14:textId="0D3993FB" w:rsidR="003B6899" w:rsidRPr="006A14CA" w:rsidRDefault="00A00322" w:rsidP="00674299">
      <w:pPr>
        <w:rPr>
          <w:rFonts w:ascii="Garamond" w:hAnsi="Garamond"/>
        </w:rPr>
      </w:pPr>
      <w:r w:rsidRPr="00A00322">
        <w:rPr>
          <w:rFonts w:ascii="Garamond" w:hAnsi="Garamond"/>
        </w:rPr>
        <w:t>Changes in people's consumption behavior towards online transactions also present social consequences, including impulsive consumption patterns and the risk of individual financial vulnerability. Therefore, strategies to strengthen digital and financial literacy, as well as digital consumer protection policies are very important in maintaining a balance of development.</w:t>
      </w:r>
      <w:r w:rsidR="00674299">
        <w:rPr>
          <w:rFonts w:ascii="Garamond" w:hAnsi="Garamond"/>
        </w:rPr>
        <w:t xml:space="preserve"> </w:t>
      </w:r>
      <w:r w:rsidRPr="00A00322">
        <w:rPr>
          <w:rFonts w:ascii="Garamond" w:hAnsi="Garamond"/>
        </w:rPr>
        <w:t xml:space="preserve">Practically, this research has implications for the government, the private sector, and society. The government is expected to strengthen regulations and expand digital infrastructure so that the digital economy can be felt equally. The private sector, especially technology service providers, needs to deliver innovations that are inclusive and oriented to the needs of the wider community. Meanwhile, people must increase digital and financial literacy in order </w:t>
      </w:r>
      <w:r w:rsidRPr="00A00322">
        <w:rPr>
          <w:rFonts w:ascii="Garamond" w:hAnsi="Garamond"/>
        </w:rPr>
        <w:lastRenderedPageBreak/>
        <w:t>to be able to take advantage of digital economic opportunities wisely. With synergy between all stakeholders, the digital economy has the potential to be the main motor in realizing inclusive, sustainable economic growth, and being able to improve national welfare.</w:t>
      </w:r>
    </w:p>
    <w:p w14:paraId="603CEF98" w14:textId="77777777" w:rsidR="003B6899" w:rsidRPr="00D7729F" w:rsidRDefault="003B6899" w:rsidP="003B6899">
      <w:pPr>
        <w:pStyle w:val="Heading1"/>
      </w:pPr>
      <w:r w:rsidRPr="00D7729F">
        <w:t>References</w:t>
      </w:r>
    </w:p>
    <w:p w14:paraId="06EC209D" w14:textId="12E059D9" w:rsidR="001B3B9E" w:rsidRDefault="001B3B9E" w:rsidP="001B3B9E">
      <w:pPr>
        <w:ind w:left="720" w:hanging="720"/>
        <w:rPr>
          <w:rFonts w:ascii="Garamond" w:hAnsi="Garamond"/>
        </w:rPr>
      </w:pPr>
      <w:proofErr w:type="spellStart"/>
      <w:r w:rsidRPr="001B3B9E">
        <w:rPr>
          <w:rFonts w:ascii="Garamond" w:hAnsi="Garamond"/>
        </w:rPr>
        <w:t>Amornkitvikai</w:t>
      </w:r>
      <w:proofErr w:type="spellEnd"/>
      <w:r w:rsidRPr="001B3B9E">
        <w:rPr>
          <w:rFonts w:ascii="Garamond" w:hAnsi="Garamond"/>
        </w:rPr>
        <w:t>, Y., Tham, S. Y., Harvie, C., &amp; Buachoom, W. W. (2022). Barriers and factors affecting the e-commerce sustainability of Thai micro-, small-and medium-sized enterprises (MSMEs). </w:t>
      </w:r>
      <w:r w:rsidRPr="001B3B9E">
        <w:rPr>
          <w:rFonts w:ascii="Garamond" w:hAnsi="Garamond"/>
          <w:i/>
          <w:iCs/>
        </w:rPr>
        <w:t>Sustainability</w:t>
      </w:r>
      <w:r w:rsidRPr="001B3B9E">
        <w:rPr>
          <w:rFonts w:ascii="Garamond" w:hAnsi="Garamond"/>
        </w:rPr>
        <w:t>, </w:t>
      </w:r>
      <w:r w:rsidRPr="001B3B9E">
        <w:rPr>
          <w:rFonts w:ascii="Garamond" w:hAnsi="Garamond"/>
          <w:i/>
          <w:iCs/>
        </w:rPr>
        <w:t>14</w:t>
      </w:r>
      <w:r w:rsidRPr="001B3B9E">
        <w:rPr>
          <w:rFonts w:ascii="Garamond" w:hAnsi="Garamond"/>
        </w:rPr>
        <w:t>(14), 8476.</w:t>
      </w:r>
    </w:p>
    <w:p w14:paraId="25959C2E" w14:textId="722D1C6E" w:rsidR="003000F7" w:rsidRDefault="003000F7" w:rsidP="003000F7">
      <w:pPr>
        <w:ind w:left="720" w:hanging="720"/>
        <w:rPr>
          <w:rFonts w:ascii="Garamond" w:hAnsi="Garamond"/>
        </w:rPr>
      </w:pPr>
      <w:r w:rsidRPr="00A00322">
        <w:rPr>
          <w:rFonts w:ascii="Garamond" w:hAnsi="Garamond"/>
        </w:rPr>
        <w:t xml:space="preserve">APJII. (2022). </w:t>
      </w:r>
      <w:proofErr w:type="spellStart"/>
      <w:r w:rsidRPr="00A00322">
        <w:rPr>
          <w:rFonts w:ascii="Garamond" w:hAnsi="Garamond"/>
          <w:i/>
          <w:iCs/>
        </w:rPr>
        <w:t>Laporan</w:t>
      </w:r>
      <w:proofErr w:type="spellEnd"/>
      <w:r w:rsidRPr="00A00322">
        <w:rPr>
          <w:rFonts w:ascii="Garamond" w:hAnsi="Garamond"/>
          <w:i/>
          <w:iCs/>
        </w:rPr>
        <w:t xml:space="preserve"> </w:t>
      </w:r>
      <w:proofErr w:type="spellStart"/>
      <w:r w:rsidRPr="00A00322">
        <w:rPr>
          <w:rFonts w:ascii="Garamond" w:hAnsi="Garamond"/>
          <w:i/>
          <w:iCs/>
        </w:rPr>
        <w:t>survei</w:t>
      </w:r>
      <w:proofErr w:type="spellEnd"/>
      <w:r w:rsidRPr="00A00322">
        <w:rPr>
          <w:rFonts w:ascii="Garamond" w:hAnsi="Garamond"/>
          <w:i/>
          <w:iCs/>
        </w:rPr>
        <w:t xml:space="preserve"> </w:t>
      </w:r>
      <w:proofErr w:type="spellStart"/>
      <w:r w:rsidRPr="00A00322">
        <w:rPr>
          <w:rFonts w:ascii="Garamond" w:hAnsi="Garamond"/>
          <w:i/>
          <w:iCs/>
        </w:rPr>
        <w:t>penetrasi</w:t>
      </w:r>
      <w:proofErr w:type="spellEnd"/>
      <w:r w:rsidRPr="00A00322">
        <w:rPr>
          <w:rFonts w:ascii="Garamond" w:hAnsi="Garamond"/>
          <w:i/>
          <w:iCs/>
        </w:rPr>
        <w:t xml:space="preserve"> dan </w:t>
      </w:r>
      <w:proofErr w:type="spellStart"/>
      <w:r w:rsidRPr="00A00322">
        <w:rPr>
          <w:rFonts w:ascii="Garamond" w:hAnsi="Garamond"/>
          <w:i/>
          <w:iCs/>
        </w:rPr>
        <w:t>perilaku</w:t>
      </w:r>
      <w:proofErr w:type="spellEnd"/>
      <w:r w:rsidRPr="00A00322">
        <w:rPr>
          <w:rFonts w:ascii="Garamond" w:hAnsi="Garamond"/>
          <w:i/>
          <w:iCs/>
        </w:rPr>
        <w:t xml:space="preserve"> </w:t>
      </w:r>
      <w:proofErr w:type="spellStart"/>
      <w:r w:rsidRPr="00A00322">
        <w:rPr>
          <w:rFonts w:ascii="Garamond" w:hAnsi="Garamond"/>
          <w:i/>
          <w:iCs/>
        </w:rPr>
        <w:t>pengguna</w:t>
      </w:r>
      <w:proofErr w:type="spellEnd"/>
      <w:r w:rsidRPr="00A00322">
        <w:rPr>
          <w:rFonts w:ascii="Garamond" w:hAnsi="Garamond"/>
          <w:i/>
          <w:iCs/>
        </w:rPr>
        <w:t xml:space="preserve"> internet Indonesia </w:t>
      </w:r>
      <w:proofErr w:type="spellStart"/>
      <w:r w:rsidRPr="00A00322">
        <w:rPr>
          <w:rFonts w:ascii="Garamond" w:hAnsi="Garamond"/>
          <w:i/>
          <w:iCs/>
        </w:rPr>
        <w:t>tahun</w:t>
      </w:r>
      <w:proofErr w:type="spellEnd"/>
      <w:r w:rsidRPr="00A00322">
        <w:rPr>
          <w:rFonts w:ascii="Garamond" w:hAnsi="Garamond"/>
          <w:i/>
          <w:iCs/>
        </w:rPr>
        <w:t xml:space="preserve"> 2022</w:t>
      </w:r>
      <w:r w:rsidRPr="00A00322">
        <w:rPr>
          <w:rFonts w:ascii="Garamond" w:hAnsi="Garamond"/>
        </w:rPr>
        <w:t xml:space="preserve">. Jakarta: </w:t>
      </w:r>
      <w:proofErr w:type="spellStart"/>
      <w:r w:rsidRPr="00A00322">
        <w:rPr>
          <w:rFonts w:ascii="Garamond" w:hAnsi="Garamond"/>
        </w:rPr>
        <w:t>Asosiasi</w:t>
      </w:r>
      <w:proofErr w:type="spellEnd"/>
      <w:r w:rsidRPr="00A00322">
        <w:rPr>
          <w:rFonts w:ascii="Garamond" w:hAnsi="Garamond"/>
        </w:rPr>
        <w:t xml:space="preserve"> </w:t>
      </w:r>
      <w:proofErr w:type="spellStart"/>
      <w:r w:rsidRPr="00A00322">
        <w:rPr>
          <w:rFonts w:ascii="Garamond" w:hAnsi="Garamond"/>
        </w:rPr>
        <w:t>Penyelenggara</w:t>
      </w:r>
      <w:proofErr w:type="spellEnd"/>
      <w:r w:rsidRPr="00A00322">
        <w:rPr>
          <w:rFonts w:ascii="Garamond" w:hAnsi="Garamond"/>
        </w:rPr>
        <w:t xml:space="preserve"> Jasa Internet Indonesia.</w:t>
      </w:r>
      <w:r w:rsidRPr="00402B7B">
        <w:rPr>
          <w:rFonts w:ascii="Garamond" w:hAnsi="Garamond"/>
        </w:rPr>
        <w:t xml:space="preserve"> </w:t>
      </w:r>
      <w:r w:rsidRPr="00A00322">
        <w:rPr>
          <w:rFonts w:ascii="Garamond" w:hAnsi="Garamond"/>
        </w:rPr>
        <w:t xml:space="preserve">Retrieved </w:t>
      </w:r>
      <w:r w:rsidR="001B3B9E">
        <w:rPr>
          <w:rFonts w:ascii="Garamond" w:hAnsi="Garamond"/>
        </w:rPr>
        <w:t xml:space="preserve">April 15, 2023 </w:t>
      </w:r>
      <w:r w:rsidRPr="00A00322">
        <w:rPr>
          <w:rFonts w:ascii="Garamond" w:hAnsi="Garamond"/>
        </w:rPr>
        <w:t>from</w:t>
      </w:r>
      <w:r>
        <w:rPr>
          <w:rFonts w:ascii="Garamond" w:hAnsi="Garamond"/>
        </w:rPr>
        <w:t xml:space="preserve"> </w:t>
      </w:r>
      <w:r w:rsidRPr="0002683C">
        <w:rPr>
          <w:rFonts w:ascii="Garamond" w:hAnsi="Garamond"/>
        </w:rPr>
        <w:t>https://apjii.or.id</w:t>
      </w:r>
    </w:p>
    <w:p w14:paraId="52C594F5" w14:textId="3ED13CE6" w:rsidR="0001751C" w:rsidRDefault="0001751C" w:rsidP="0001751C">
      <w:pPr>
        <w:pStyle w:val="ListParagraph"/>
        <w:rPr>
          <w:rFonts w:ascii="Garamond" w:hAnsi="Garamond"/>
        </w:rPr>
      </w:pPr>
      <w:r w:rsidRPr="0001751C">
        <w:rPr>
          <w:rFonts w:ascii="Garamond" w:hAnsi="Garamond"/>
        </w:rPr>
        <w:t>Betts, L. R., Hill, R., &amp; Gardner, S. E. (2019). “There’s not enough knowledge out there”: Examining older adults’ perceptions of digital technology use and digital inclusion classes. </w:t>
      </w:r>
      <w:r w:rsidRPr="0001751C">
        <w:rPr>
          <w:rFonts w:ascii="Garamond" w:hAnsi="Garamond"/>
          <w:i/>
          <w:iCs/>
        </w:rPr>
        <w:t>Journal of Applied Gerontology</w:t>
      </w:r>
      <w:r w:rsidRPr="0001751C">
        <w:rPr>
          <w:rFonts w:ascii="Garamond" w:hAnsi="Garamond"/>
        </w:rPr>
        <w:t>, </w:t>
      </w:r>
      <w:r w:rsidRPr="0001751C">
        <w:rPr>
          <w:rFonts w:ascii="Garamond" w:hAnsi="Garamond"/>
          <w:i/>
          <w:iCs/>
        </w:rPr>
        <w:t>38</w:t>
      </w:r>
      <w:r w:rsidRPr="0001751C">
        <w:rPr>
          <w:rFonts w:ascii="Garamond" w:hAnsi="Garamond"/>
        </w:rPr>
        <w:t>(8), 1147-1166.</w:t>
      </w:r>
    </w:p>
    <w:p w14:paraId="31AB1D24" w14:textId="5EE8A726" w:rsidR="0001751C" w:rsidRDefault="0001751C" w:rsidP="0001751C">
      <w:pPr>
        <w:pStyle w:val="ListParagraph"/>
        <w:rPr>
          <w:rFonts w:ascii="Garamond" w:hAnsi="Garamond"/>
        </w:rPr>
      </w:pPr>
      <w:r w:rsidRPr="0001751C">
        <w:rPr>
          <w:rFonts w:ascii="Garamond" w:hAnsi="Garamond"/>
        </w:rPr>
        <w:t>Chen, Y. (2020). Improving market performance in the digital economy. </w:t>
      </w:r>
      <w:r w:rsidRPr="0001751C">
        <w:rPr>
          <w:rFonts w:ascii="Garamond" w:hAnsi="Garamond"/>
          <w:i/>
          <w:iCs/>
        </w:rPr>
        <w:t>China Economic Review</w:t>
      </w:r>
      <w:r w:rsidRPr="0001751C">
        <w:rPr>
          <w:rFonts w:ascii="Garamond" w:hAnsi="Garamond"/>
        </w:rPr>
        <w:t>, </w:t>
      </w:r>
      <w:r w:rsidRPr="0001751C">
        <w:rPr>
          <w:rFonts w:ascii="Garamond" w:hAnsi="Garamond"/>
          <w:i/>
          <w:iCs/>
        </w:rPr>
        <w:t>62</w:t>
      </w:r>
      <w:r w:rsidRPr="0001751C">
        <w:rPr>
          <w:rFonts w:ascii="Garamond" w:hAnsi="Garamond"/>
        </w:rPr>
        <w:t>, 101482.</w:t>
      </w:r>
    </w:p>
    <w:p w14:paraId="4537DC8D" w14:textId="5EE9DADD" w:rsidR="0001751C" w:rsidRPr="00E74968" w:rsidRDefault="0001751C" w:rsidP="0001751C">
      <w:pPr>
        <w:pStyle w:val="ListParagraph"/>
        <w:rPr>
          <w:rFonts w:ascii="Garamond" w:hAnsi="Garamond"/>
        </w:rPr>
      </w:pPr>
      <w:r w:rsidRPr="0001751C">
        <w:rPr>
          <w:rFonts w:ascii="Garamond" w:hAnsi="Garamond"/>
        </w:rPr>
        <w:t xml:space="preserve">Cueto, L. J., </w:t>
      </w:r>
      <w:proofErr w:type="spellStart"/>
      <w:r w:rsidRPr="0001751C">
        <w:rPr>
          <w:rFonts w:ascii="Garamond" w:hAnsi="Garamond"/>
        </w:rPr>
        <w:t>Frisnedi</w:t>
      </w:r>
      <w:proofErr w:type="spellEnd"/>
      <w:r w:rsidRPr="0001751C">
        <w:rPr>
          <w:rFonts w:ascii="Garamond" w:hAnsi="Garamond"/>
        </w:rPr>
        <w:t>, A. F. D., Collera, R. B., Batac, K. I. T., &amp; Agaton, C. B. (2022). Digital innovations in MSMEs during economic disruptions: experiences and challenges of young entrepreneurs. </w:t>
      </w:r>
      <w:r w:rsidRPr="0001751C">
        <w:rPr>
          <w:rFonts w:ascii="Garamond" w:hAnsi="Garamond"/>
          <w:i/>
          <w:iCs/>
        </w:rPr>
        <w:t>Administrative Sciences</w:t>
      </w:r>
      <w:r w:rsidRPr="0001751C">
        <w:rPr>
          <w:rFonts w:ascii="Garamond" w:hAnsi="Garamond"/>
        </w:rPr>
        <w:t>, </w:t>
      </w:r>
      <w:r w:rsidRPr="0001751C">
        <w:rPr>
          <w:rFonts w:ascii="Garamond" w:hAnsi="Garamond"/>
          <w:i/>
          <w:iCs/>
        </w:rPr>
        <w:t>12</w:t>
      </w:r>
      <w:r w:rsidRPr="0001751C">
        <w:rPr>
          <w:rFonts w:ascii="Garamond" w:hAnsi="Garamond"/>
        </w:rPr>
        <w:t>(1), 8.</w:t>
      </w:r>
    </w:p>
    <w:p w14:paraId="28E50424" w14:textId="0385A072" w:rsidR="0002683C" w:rsidRDefault="003000F7" w:rsidP="0002683C">
      <w:pPr>
        <w:ind w:left="720" w:hanging="720"/>
        <w:rPr>
          <w:rFonts w:ascii="Garamond" w:hAnsi="Garamond"/>
        </w:rPr>
      </w:pPr>
      <w:r w:rsidRPr="00A00322">
        <w:rPr>
          <w:rFonts w:ascii="Garamond" w:hAnsi="Garamond"/>
        </w:rPr>
        <w:t xml:space="preserve">Google, Temasek, &amp; Bain &amp; Company. (2022). </w:t>
      </w:r>
      <w:r w:rsidRPr="00A00322">
        <w:rPr>
          <w:rFonts w:ascii="Garamond" w:hAnsi="Garamond"/>
          <w:i/>
          <w:iCs/>
        </w:rPr>
        <w:t>e-</w:t>
      </w:r>
      <w:proofErr w:type="spellStart"/>
      <w:r w:rsidRPr="00A00322">
        <w:rPr>
          <w:rFonts w:ascii="Garamond" w:hAnsi="Garamond"/>
          <w:i/>
          <w:iCs/>
        </w:rPr>
        <w:t>Conomy</w:t>
      </w:r>
      <w:proofErr w:type="spellEnd"/>
      <w:r w:rsidRPr="00A00322">
        <w:rPr>
          <w:rFonts w:ascii="Garamond" w:hAnsi="Garamond"/>
          <w:i/>
          <w:iCs/>
        </w:rPr>
        <w:t xml:space="preserve"> SEA 2022: Through the waves, towards a sea of opportunity</w:t>
      </w:r>
      <w:r w:rsidRPr="00A00322">
        <w:rPr>
          <w:rFonts w:ascii="Garamond" w:hAnsi="Garamond"/>
        </w:rPr>
        <w:t xml:space="preserve">. Retrieved </w:t>
      </w:r>
      <w:r w:rsidR="001B3B9E">
        <w:rPr>
          <w:rFonts w:ascii="Garamond" w:hAnsi="Garamond"/>
        </w:rPr>
        <w:t xml:space="preserve">May 12, 2023 </w:t>
      </w:r>
      <w:r w:rsidRPr="00A00322">
        <w:rPr>
          <w:rFonts w:ascii="Garamond" w:hAnsi="Garamond"/>
        </w:rPr>
        <w:t>from</w:t>
      </w:r>
      <w:r>
        <w:rPr>
          <w:rFonts w:ascii="Garamond" w:hAnsi="Garamond"/>
        </w:rPr>
        <w:t xml:space="preserve"> </w:t>
      </w:r>
      <w:r w:rsidR="0002683C" w:rsidRPr="0002683C">
        <w:rPr>
          <w:rFonts w:ascii="Garamond" w:hAnsi="Garamond"/>
        </w:rPr>
        <w:t>https://economysea.withgoogle.com</w:t>
      </w:r>
    </w:p>
    <w:p w14:paraId="26D1B331" w14:textId="447378C2" w:rsidR="009D3D59" w:rsidRDefault="009D3D59" w:rsidP="009D3D59">
      <w:pPr>
        <w:ind w:left="720" w:hanging="720"/>
        <w:rPr>
          <w:rFonts w:ascii="Garamond" w:hAnsi="Garamond"/>
        </w:rPr>
      </w:pPr>
      <w:r w:rsidRPr="009D3D59">
        <w:rPr>
          <w:rFonts w:ascii="Garamond" w:hAnsi="Garamond"/>
        </w:rPr>
        <w:lastRenderedPageBreak/>
        <w:t>Grewal, D., Gauri, D. K., Roggeveen, A. L., &amp; Sethuraman, R. (2021). Strategizing retailing in the new technology era. </w:t>
      </w:r>
      <w:r w:rsidRPr="009D3D59">
        <w:rPr>
          <w:rFonts w:ascii="Garamond" w:hAnsi="Garamond"/>
          <w:i/>
          <w:iCs/>
        </w:rPr>
        <w:t>Journal of Retailing</w:t>
      </w:r>
      <w:r w:rsidRPr="009D3D59">
        <w:rPr>
          <w:rFonts w:ascii="Garamond" w:hAnsi="Garamond"/>
        </w:rPr>
        <w:t>, </w:t>
      </w:r>
      <w:r w:rsidRPr="009D3D59">
        <w:rPr>
          <w:rFonts w:ascii="Garamond" w:hAnsi="Garamond"/>
          <w:i/>
          <w:iCs/>
        </w:rPr>
        <w:t>97</w:t>
      </w:r>
      <w:r w:rsidRPr="009D3D59">
        <w:rPr>
          <w:rFonts w:ascii="Garamond" w:hAnsi="Garamond"/>
        </w:rPr>
        <w:t>(1), 6-12.</w:t>
      </w:r>
    </w:p>
    <w:p w14:paraId="53871EB8" w14:textId="16250F89" w:rsidR="0002683C" w:rsidRDefault="0002683C" w:rsidP="0002683C">
      <w:pPr>
        <w:ind w:left="720" w:hanging="720"/>
        <w:rPr>
          <w:rFonts w:ascii="Garamond" w:hAnsi="Garamond"/>
        </w:rPr>
      </w:pPr>
      <w:r w:rsidRPr="003F297B">
        <w:rPr>
          <w:rFonts w:ascii="Garamond" w:hAnsi="Garamond"/>
        </w:rPr>
        <w:t xml:space="preserve">Maria, N. S. B., &amp; </w:t>
      </w:r>
      <w:proofErr w:type="spellStart"/>
      <w:r w:rsidRPr="003F297B">
        <w:rPr>
          <w:rFonts w:ascii="Garamond" w:hAnsi="Garamond"/>
        </w:rPr>
        <w:t>Widayati</w:t>
      </w:r>
      <w:proofErr w:type="spellEnd"/>
      <w:r w:rsidRPr="003F297B">
        <w:rPr>
          <w:rFonts w:ascii="Garamond" w:hAnsi="Garamond"/>
        </w:rPr>
        <w:t xml:space="preserve">, T. (2020). </w:t>
      </w:r>
      <w:proofErr w:type="spellStart"/>
      <w:r w:rsidRPr="003F297B">
        <w:rPr>
          <w:rFonts w:ascii="Garamond" w:hAnsi="Garamond"/>
        </w:rPr>
        <w:t>Dampak</w:t>
      </w:r>
      <w:proofErr w:type="spellEnd"/>
      <w:r w:rsidRPr="003F297B">
        <w:rPr>
          <w:rFonts w:ascii="Garamond" w:hAnsi="Garamond"/>
        </w:rPr>
        <w:t xml:space="preserve"> </w:t>
      </w:r>
      <w:proofErr w:type="spellStart"/>
      <w:r w:rsidRPr="003F297B">
        <w:rPr>
          <w:rFonts w:ascii="Garamond" w:hAnsi="Garamond"/>
        </w:rPr>
        <w:t>perkembangan</w:t>
      </w:r>
      <w:proofErr w:type="spellEnd"/>
      <w:r w:rsidRPr="003F297B">
        <w:rPr>
          <w:rFonts w:ascii="Garamond" w:hAnsi="Garamond"/>
        </w:rPr>
        <w:t xml:space="preserve"> </w:t>
      </w:r>
      <w:proofErr w:type="spellStart"/>
      <w:r w:rsidRPr="003F297B">
        <w:rPr>
          <w:rFonts w:ascii="Garamond" w:hAnsi="Garamond"/>
        </w:rPr>
        <w:t>ekonomi</w:t>
      </w:r>
      <w:proofErr w:type="spellEnd"/>
      <w:r w:rsidRPr="003F297B">
        <w:rPr>
          <w:rFonts w:ascii="Garamond" w:hAnsi="Garamond"/>
        </w:rPr>
        <w:t xml:space="preserve"> digital </w:t>
      </w:r>
      <w:proofErr w:type="spellStart"/>
      <w:r w:rsidRPr="003F297B">
        <w:rPr>
          <w:rFonts w:ascii="Garamond" w:hAnsi="Garamond"/>
        </w:rPr>
        <w:t>terhadap</w:t>
      </w:r>
      <w:proofErr w:type="spellEnd"/>
      <w:r w:rsidRPr="003F297B">
        <w:rPr>
          <w:rFonts w:ascii="Garamond" w:hAnsi="Garamond"/>
        </w:rPr>
        <w:t xml:space="preserve"> </w:t>
      </w:r>
      <w:proofErr w:type="spellStart"/>
      <w:r w:rsidRPr="003F297B">
        <w:rPr>
          <w:rFonts w:ascii="Garamond" w:hAnsi="Garamond"/>
        </w:rPr>
        <w:t>perilaku</w:t>
      </w:r>
      <w:proofErr w:type="spellEnd"/>
      <w:r w:rsidRPr="003F297B">
        <w:rPr>
          <w:rFonts w:ascii="Garamond" w:hAnsi="Garamond"/>
        </w:rPr>
        <w:t xml:space="preserve"> </w:t>
      </w:r>
      <w:proofErr w:type="spellStart"/>
      <w:r w:rsidRPr="003F297B">
        <w:rPr>
          <w:rFonts w:ascii="Garamond" w:hAnsi="Garamond"/>
        </w:rPr>
        <w:t>pengguna</w:t>
      </w:r>
      <w:proofErr w:type="spellEnd"/>
      <w:r w:rsidRPr="003F297B">
        <w:rPr>
          <w:rFonts w:ascii="Garamond" w:hAnsi="Garamond"/>
        </w:rPr>
        <w:t xml:space="preserve"> media </w:t>
      </w:r>
      <w:proofErr w:type="spellStart"/>
      <w:r w:rsidRPr="003F297B">
        <w:rPr>
          <w:rFonts w:ascii="Garamond" w:hAnsi="Garamond"/>
        </w:rPr>
        <w:t>sosial</w:t>
      </w:r>
      <w:proofErr w:type="spellEnd"/>
      <w:r w:rsidRPr="003F297B">
        <w:rPr>
          <w:rFonts w:ascii="Garamond" w:hAnsi="Garamond"/>
        </w:rPr>
        <w:t xml:space="preserve"> </w:t>
      </w:r>
      <w:proofErr w:type="spellStart"/>
      <w:r w:rsidRPr="003F297B">
        <w:rPr>
          <w:rFonts w:ascii="Garamond" w:hAnsi="Garamond"/>
        </w:rPr>
        <w:t>dalam</w:t>
      </w:r>
      <w:proofErr w:type="spellEnd"/>
      <w:r w:rsidRPr="003F297B">
        <w:rPr>
          <w:rFonts w:ascii="Garamond" w:hAnsi="Garamond"/>
        </w:rPr>
        <w:t xml:space="preserve"> </w:t>
      </w:r>
      <w:proofErr w:type="spellStart"/>
      <w:r w:rsidRPr="003F297B">
        <w:rPr>
          <w:rFonts w:ascii="Garamond" w:hAnsi="Garamond"/>
        </w:rPr>
        <w:t>melakukan</w:t>
      </w:r>
      <w:proofErr w:type="spellEnd"/>
      <w:r w:rsidRPr="003F297B">
        <w:rPr>
          <w:rFonts w:ascii="Garamond" w:hAnsi="Garamond"/>
        </w:rPr>
        <w:t xml:space="preserve"> </w:t>
      </w:r>
      <w:proofErr w:type="spellStart"/>
      <w:r w:rsidRPr="003F297B">
        <w:rPr>
          <w:rFonts w:ascii="Garamond" w:hAnsi="Garamond"/>
        </w:rPr>
        <w:t>transaksi</w:t>
      </w:r>
      <w:proofErr w:type="spellEnd"/>
      <w:r w:rsidRPr="003F297B">
        <w:rPr>
          <w:rFonts w:ascii="Garamond" w:hAnsi="Garamond"/>
        </w:rPr>
        <w:t xml:space="preserve"> </w:t>
      </w:r>
      <w:proofErr w:type="spellStart"/>
      <w:r w:rsidRPr="003F297B">
        <w:rPr>
          <w:rFonts w:ascii="Garamond" w:hAnsi="Garamond"/>
        </w:rPr>
        <w:t>ekonomi</w:t>
      </w:r>
      <w:proofErr w:type="spellEnd"/>
      <w:r w:rsidRPr="003F297B">
        <w:rPr>
          <w:rFonts w:ascii="Garamond" w:hAnsi="Garamond"/>
        </w:rPr>
        <w:t>. </w:t>
      </w:r>
      <w:r w:rsidRPr="003F297B">
        <w:rPr>
          <w:rFonts w:ascii="Garamond" w:hAnsi="Garamond"/>
          <w:i/>
          <w:iCs/>
        </w:rPr>
        <w:t>JKBM (</w:t>
      </w:r>
      <w:proofErr w:type="spellStart"/>
      <w:r w:rsidRPr="003F297B">
        <w:rPr>
          <w:rFonts w:ascii="Garamond" w:hAnsi="Garamond"/>
          <w:i/>
          <w:iCs/>
        </w:rPr>
        <w:t>Jurnal</w:t>
      </w:r>
      <w:proofErr w:type="spellEnd"/>
      <w:r w:rsidRPr="003F297B">
        <w:rPr>
          <w:rFonts w:ascii="Garamond" w:hAnsi="Garamond"/>
          <w:i/>
          <w:iCs/>
        </w:rPr>
        <w:t xml:space="preserve"> </w:t>
      </w:r>
      <w:proofErr w:type="spellStart"/>
      <w:r w:rsidRPr="003F297B">
        <w:rPr>
          <w:rFonts w:ascii="Garamond" w:hAnsi="Garamond"/>
          <w:i/>
          <w:iCs/>
        </w:rPr>
        <w:t>Konsep</w:t>
      </w:r>
      <w:proofErr w:type="spellEnd"/>
      <w:r w:rsidRPr="003F297B">
        <w:rPr>
          <w:rFonts w:ascii="Garamond" w:hAnsi="Garamond"/>
          <w:i/>
          <w:iCs/>
        </w:rPr>
        <w:t xml:space="preserve"> </w:t>
      </w:r>
      <w:proofErr w:type="spellStart"/>
      <w:r w:rsidRPr="003F297B">
        <w:rPr>
          <w:rFonts w:ascii="Garamond" w:hAnsi="Garamond"/>
          <w:i/>
          <w:iCs/>
        </w:rPr>
        <w:t>Bisnis</w:t>
      </w:r>
      <w:proofErr w:type="spellEnd"/>
      <w:r w:rsidRPr="003F297B">
        <w:rPr>
          <w:rFonts w:ascii="Garamond" w:hAnsi="Garamond"/>
          <w:i/>
          <w:iCs/>
        </w:rPr>
        <w:t xml:space="preserve"> Dan Manajemen)</w:t>
      </w:r>
      <w:r w:rsidRPr="003F297B">
        <w:rPr>
          <w:rFonts w:ascii="Garamond" w:hAnsi="Garamond"/>
        </w:rPr>
        <w:t>, </w:t>
      </w:r>
      <w:r w:rsidRPr="003F297B">
        <w:rPr>
          <w:rFonts w:ascii="Garamond" w:hAnsi="Garamond"/>
          <w:i/>
          <w:iCs/>
        </w:rPr>
        <w:t>6</w:t>
      </w:r>
      <w:r w:rsidRPr="003F297B">
        <w:rPr>
          <w:rFonts w:ascii="Garamond" w:hAnsi="Garamond"/>
        </w:rPr>
        <w:t>(2), 234-239.</w:t>
      </w:r>
    </w:p>
    <w:p w14:paraId="4E30C02E" w14:textId="520B57F0" w:rsidR="0001751C" w:rsidRDefault="0001751C" w:rsidP="0001751C">
      <w:pPr>
        <w:ind w:left="720" w:hanging="720"/>
        <w:rPr>
          <w:rFonts w:ascii="Garamond" w:hAnsi="Garamond"/>
        </w:rPr>
      </w:pPr>
      <w:proofErr w:type="spellStart"/>
      <w:r w:rsidRPr="0001751C">
        <w:rPr>
          <w:rFonts w:ascii="Garamond" w:hAnsi="Garamond"/>
        </w:rPr>
        <w:t>Nugraha</w:t>
      </w:r>
      <w:proofErr w:type="spellEnd"/>
      <w:r w:rsidRPr="0001751C">
        <w:rPr>
          <w:rFonts w:ascii="Garamond" w:hAnsi="Garamond"/>
        </w:rPr>
        <w:t>, D. P., Setiawan, B., Nathan, R. J., &amp; Fekete-Farkas, M. (2022). FinTech adoption drivers for innovation for SMEs in Indonesia. </w:t>
      </w:r>
      <w:r w:rsidRPr="0001751C">
        <w:rPr>
          <w:rFonts w:ascii="Garamond" w:hAnsi="Garamond"/>
          <w:i/>
          <w:iCs/>
        </w:rPr>
        <w:t>Journal of Open Innovation: Technology, Market, and Complexity</w:t>
      </w:r>
      <w:r w:rsidRPr="0001751C">
        <w:rPr>
          <w:rFonts w:ascii="Garamond" w:hAnsi="Garamond"/>
        </w:rPr>
        <w:t>, </w:t>
      </w:r>
      <w:r w:rsidRPr="0001751C">
        <w:rPr>
          <w:rFonts w:ascii="Garamond" w:hAnsi="Garamond"/>
          <w:i/>
          <w:iCs/>
        </w:rPr>
        <w:t>8</w:t>
      </w:r>
      <w:r w:rsidRPr="0001751C">
        <w:rPr>
          <w:rFonts w:ascii="Garamond" w:hAnsi="Garamond"/>
        </w:rPr>
        <w:t>(4), 208.</w:t>
      </w:r>
    </w:p>
    <w:p w14:paraId="77956E86" w14:textId="1A66D4A2" w:rsidR="0002683C" w:rsidRDefault="0002683C" w:rsidP="0001751C">
      <w:pPr>
        <w:ind w:left="720" w:hanging="720"/>
        <w:rPr>
          <w:rFonts w:ascii="Garamond" w:hAnsi="Garamond"/>
        </w:rPr>
      </w:pPr>
      <w:r w:rsidRPr="00F127AE">
        <w:rPr>
          <w:rFonts w:ascii="Garamond" w:hAnsi="Garamond"/>
        </w:rPr>
        <w:t>Seldal, M. N., &amp; Nyhus, E. K. (2022). Financial vulnerability, financial literacy, and the use of digital payment technologies. </w:t>
      </w:r>
      <w:r w:rsidRPr="00F127AE">
        <w:rPr>
          <w:rFonts w:ascii="Garamond" w:hAnsi="Garamond"/>
          <w:i/>
          <w:iCs/>
        </w:rPr>
        <w:t>Journal of Consumer Policy</w:t>
      </w:r>
      <w:r w:rsidRPr="00F127AE">
        <w:rPr>
          <w:rFonts w:ascii="Garamond" w:hAnsi="Garamond"/>
        </w:rPr>
        <w:t>, </w:t>
      </w:r>
      <w:r w:rsidRPr="00F127AE">
        <w:rPr>
          <w:rFonts w:ascii="Garamond" w:hAnsi="Garamond"/>
          <w:i/>
          <w:iCs/>
        </w:rPr>
        <w:t>45</w:t>
      </w:r>
      <w:r w:rsidRPr="00F127AE">
        <w:rPr>
          <w:rFonts w:ascii="Garamond" w:hAnsi="Garamond"/>
        </w:rPr>
        <w:t>(2), 281-306.</w:t>
      </w:r>
    </w:p>
    <w:p w14:paraId="08AF2143" w14:textId="7F05A608" w:rsidR="00674299" w:rsidRDefault="00674299" w:rsidP="00674299">
      <w:pPr>
        <w:pStyle w:val="ListParagraph"/>
        <w:rPr>
          <w:rFonts w:ascii="Garamond" w:hAnsi="Garamond"/>
        </w:rPr>
      </w:pPr>
      <w:proofErr w:type="spellStart"/>
      <w:r w:rsidRPr="00674299">
        <w:rPr>
          <w:rFonts w:ascii="Garamond" w:hAnsi="Garamond"/>
        </w:rPr>
        <w:t>Toubes</w:t>
      </w:r>
      <w:proofErr w:type="spellEnd"/>
      <w:r w:rsidRPr="00674299">
        <w:rPr>
          <w:rFonts w:ascii="Garamond" w:hAnsi="Garamond"/>
        </w:rPr>
        <w:t xml:space="preserve">, D. R., Araújo Vila, N., &amp; </w:t>
      </w:r>
      <w:proofErr w:type="spellStart"/>
      <w:r w:rsidRPr="00674299">
        <w:rPr>
          <w:rFonts w:ascii="Garamond" w:hAnsi="Garamond"/>
        </w:rPr>
        <w:t>Fraiz</w:t>
      </w:r>
      <w:proofErr w:type="spellEnd"/>
      <w:r w:rsidRPr="00674299">
        <w:rPr>
          <w:rFonts w:ascii="Garamond" w:hAnsi="Garamond"/>
        </w:rPr>
        <w:t xml:space="preserve"> Brea, J. A. (2021). Changes in consumption patterns and tourist promotion after the COVID-19 pandemic. </w:t>
      </w:r>
      <w:r w:rsidRPr="00674299">
        <w:rPr>
          <w:rFonts w:ascii="Garamond" w:hAnsi="Garamond"/>
          <w:i/>
          <w:iCs/>
        </w:rPr>
        <w:t>Journal of theoretical and applied electronic commerce research</w:t>
      </w:r>
      <w:r w:rsidRPr="00674299">
        <w:rPr>
          <w:rFonts w:ascii="Garamond" w:hAnsi="Garamond"/>
        </w:rPr>
        <w:t>, </w:t>
      </w:r>
      <w:r w:rsidRPr="00674299">
        <w:rPr>
          <w:rFonts w:ascii="Garamond" w:hAnsi="Garamond"/>
          <w:i/>
          <w:iCs/>
        </w:rPr>
        <w:t>16</w:t>
      </w:r>
      <w:r w:rsidRPr="00674299">
        <w:rPr>
          <w:rFonts w:ascii="Garamond" w:hAnsi="Garamond"/>
        </w:rPr>
        <w:t>(5), 1332-1352.</w:t>
      </w:r>
    </w:p>
    <w:p w14:paraId="1B4226CC" w14:textId="72CC997A" w:rsidR="000D3B6D" w:rsidRDefault="003000F7" w:rsidP="003000F7">
      <w:pPr>
        <w:pStyle w:val="ListParagraph"/>
        <w:rPr>
          <w:rFonts w:ascii="Garamond" w:hAnsi="Garamond"/>
        </w:rPr>
      </w:pPr>
      <w:r w:rsidRPr="000D3B6D">
        <w:rPr>
          <w:rFonts w:ascii="Garamond" w:hAnsi="Garamond"/>
        </w:rPr>
        <w:t xml:space="preserve">UNCTAD. (2021). </w:t>
      </w:r>
      <w:r w:rsidRPr="000D3B6D">
        <w:rPr>
          <w:rFonts w:ascii="Garamond" w:hAnsi="Garamond"/>
          <w:i/>
          <w:iCs/>
        </w:rPr>
        <w:t>Estimates of global e-commerce 2019 and 2020</w:t>
      </w:r>
      <w:r w:rsidRPr="000D3B6D">
        <w:rPr>
          <w:rFonts w:ascii="Garamond" w:hAnsi="Garamond"/>
        </w:rPr>
        <w:t>. United Nations.</w:t>
      </w:r>
      <w:r>
        <w:rPr>
          <w:rFonts w:ascii="Garamond" w:hAnsi="Garamond"/>
        </w:rPr>
        <w:t xml:space="preserve"> </w:t>
      </w:r>
      <w:r w:rsidRPr="00A00322">
        <w:rPr>
          <w:rFonts w:ascii="Garamond" w:hAnsi="Garamond"/>
        </w:rPr>
        <w:t>Retrieved</w:t>
      </w:r>
      <w:r w:rsidR="001B3B9E">
        <w:rPr>
          <w:rFonts w:ascii="Garamond" w:hAnsi="Garamond"/>
        </w:rPr>
        <w:t xml:space="preserve"> April 10, 2023</w:t>
      </w:r>
      <w:r w:rsidRPr="00A00322">
        <w:rPr>
          <w:rFonts w:ascii="Garamond" w:hAnsi="Garamond"/>
        </w:rPr>
        <w:t xml:space="preserve"> from </w:t>
      </w:r>
      <w:r w:rsidR="001B3B9E" w:rsidRPr="001B3B9E">
        <w:rPr>
          <w:rFonts w:ascii="Garamond" w:hAnsi="Garamond"/>
        </w:rPr>
        <w:t>https://unctad.org/system</w:t>
      </w:r>
    </w:p>
    <w:p w14:paraId="0FD64695" w14:textId="019A6FAA" w:rsidR="001B3B9E" w:rsidRPr="003000F7" w:rsidRDefault="001B3B9E" w:rsidP="001B3B9E">
      <w:pPr>
        <w:pStyle w:val="ListParagraph"/>
        <w:rPr>
          <w:rFonts w:ascii="Garamond" w:hAnsi="Garamond"/>
        </w:rPr>
      </w:pPr>
      <w:r w:rsidRPr="001B3B9E">
        <w:rPr>
          <w:rFonts w:ascii="Garamond" w:hAnsi="Garamond"/>
        </w:rPr>
        <w:t>Williams, L. D. (2021). Concepts of Digital Economy and Industry 4.0 in Intelligent and information systems. </w:t>
      </w:r>
      <w:r w:rsidRPr="001B3B9E">
        <w:rPr>
          <w:rFonts w:ascii="Garamond" w:hAnsi="Garamond"/>
          <w:i/>
          <w:iCs/>
        </w:rPr>
        <w:t>International Journal of Intelligent Networks</w:t>
      </w:r>
      <w:r w:rsidRPr="001B3B9E">
        <w:rPr>
          <w:rFonts w:ascii="Garamond" w:hAnsi="Garamond"/>
        </w:rPr>
        <w:t>, </w:t>
      </w:r>
      <w:r w:rsidRPr="001B3B9E">
        <w:rPr>
          <w:rFonts w:ascii="Garamond" w:hAnsi="Garamond"/>
          <w:i/>
          <w:iCs/>
        </w:rPr>
        <w:t>2</w:t>
      </w:r>
      <w:r w:rsidRPr="001B3B9E">
        <w:rPr>
          <w:rFonts w:ascii="Garamond" w:hAnsi="Garamond"/>
        </w:rPr>
        <w:t>, 122-129.</w:t>
      </w:r>
    </w:p>
    <w:sectPr w:rsidR="001B3B9E" w:rsidRPr="003000F7" w:rsidSect="0002683C">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3260" w:left="1440" w:header="709" w:footer="709" w:gutter="0"/>
      <w:pgNumType w:start="9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F6FD" w14:textId="77777777" w:rsidR="00A42AD4" w:rsidRDefault="00A42AD4" w:rsidP="00D81421">
      <w:pPr>
        <w:spacing w:line="240" w:lineRule="auto"/>
      </w:pPr>
      <w:r>
        <w:separator/>
      </w:r>
    </w:p>
  </w:endnote>
  <w:endnote w:type="continuationSeparator" w:id="0">
    <w:p w14:paraId="03D71E50" w14:textId="77777777" w:rsidR="00A42AD4" w:rsidRDefault="00A42AD4" w:rsidP="00D81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80547"/>
      <w:docPartObj>
        <w:docPartGallery w:val="Page Numbers (Bottom of Page)"/>
        <w:docPartUnique/>
      </w:docPartObj>
    </w:sdtPr>
    <w:sdtEndPr>
      <w:rPr>
        <w:rFonts w:ascii="Cambria Math" w:hAnsi="Cambria Math"/>
        <w:noProof/>
      </w:rPr>
    </w:sdtEndPr>
    <w:sdtContent>
      <w:p w14:paraId="35C99AC6" w14:textId="33D38628" w:rsidR="00092AB1" w:rsidRDefault="009B1E54" w:rsidP="009B1E54">
        <w:pPr>
          <w:pStyle w:val="Footer"/>
          <w:tabs>
            <w:tab w:val="clear" w:pos="4680"/>
            <w:tab w:val="center" w:pos="5670"/>
          </w:tabs>
          <w:ind w:firstLine="0"/>
          <w:jc w:val="right"/>
        </w:pPr>
        <w:r>
          <w:rPr>
            <w:i/>
            <w:iCs/>
            <w:sz w:val="24"/>
            <w:szCs w:val="24"/>
          </w:rPr>
          <w:t xml:space="preserve">                                                                                 </w:t>
        </w:r>
        <w:r w:rsidR="00092AB1" w:rsidRPr="00092AB1">
          <w:t xml:space="preserve"> </w:t>
        </w:r>
        <w:sdt>
          <w:sdtPr>
            <w:id w:val="1005794597"/>
            <w:docPartObj>
              <w:docPartGallery w:val="Page Numbers (Bottom of Page)"/>
              <w:docPartUnique/>
            </w:docPartObj>
          </w:sdtPr>
          <w:sdtEndPr>
            <w:rPr>
              <w:rFonts w:ascii="Cambria Math" w:hAnsi="Cambria Math"/>
            </w:rPr>
          </w:sdtEndPr>
          <w:sdtContent>
            <w:r w:rsidR="00402E2C">
              <w:t xml:space="preserve">   | </w:t>
            </w:r>
            <w:r w:rsidR="00092AB1" w:rsidRPr="001607AD">
              <w:rPr>
                <w:rFonts w:ascii="Cambria Math" w:hAnsi="Cambria Math"/>
              </w:rPr>
              <w:fldChar w:fldCharType="begin"/>
            </w:r>
            <w:r w:rsidR="00092AB1" w:rsidRPr="001607AD">
              <w:rPr>
                <w:rFonts w:ascii="Cambria Math" w:hAnsi="Cambria Math"/>
              </w:rPr>
              <w:instrText xml:space="preserve"> PAGE   \* MERGEFORMAT </w:instrText>
            </w:r>
            <w:r w:rsidR="00092AB1" w:rsidRPr="001607AD">
              <w:rPr>
                <w:rFonts w:ascii="Cambria Math" w:hAnsi="Cambria Math"/>
              </w:rPr>
              <w:fldChar w:fldCharType="separate"/>
            </w:r>
            <w:r w:rsidR="00A621B6">
              <w:rPr>
                <w:rFonts w:ascii="Cambria Math" w:hAnsi="Cambria Math"/>
                <w:noProof/>
              </w:rPr>
              <w:t>20</w:t>
            </w:r>
            <w:r w:rsidR="00092AB1" w:rsidRPr="001607AD">
              <w:rPr>
                <w:rFonts w:ascii="Cambria Math" w:hAnsi="Cambria Math"/>
              </w:rPr>
              <w:fldChar w:fldCharType="end"/>
            </w:r>
          </w:sdtContent>
        </w:sdt>
      </w:p>
    </w:sdtContent>
  </w:sdt>
  <w:p w14:paraId="78F141BD" w14:textId="77777777" w:rsidR="00D43556" w:rsidRDefault="00D43556" w:rsidP="00D7729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24A7" w14:textId="3F4E91B7" w:rsidR="00342BC4" w:rsidRDefault="00000000" w:rsidP="007B07D6">
    <w:pPr>
      <w:pStyle w:val="Footer"/>
      <w:ind w:firstLine="0"/>
    </w:pPr>
    <w:sdt>
      <w:sdtPr>
        <w:rPr>
          <w:rFonts w:ascii="Cambria Math" w:hAnsi="Cambria Math"/>
          <w:sz w:val="24"/>
          <w:szCs w:val="24"/>
        </w:rPr>
        <w:id w:val="1200593642"/>
        <w:docPartObj>
          <w:docPartGallery w:val="Page Numbers (Bottom of Page)"/>
          <w:docPartUnique/>
        </w:docPartObj>
      </w:sdtPr>
      <w:sdtEndPr>
        <w:rPr>
          <w:noProof/>
        </w:rPr>
      </w:sdtEndPr>
      <w:sdtContent>
        <w:r w:rsidR="00402E2C" w:rsidRPr="001607AD">
          <w:rPr>
            <w:rFonts w:ascii="Cambria Math" w:hAnsi="Cambria Math"/>
            <w:sz w:val="24"/>
            <w:szCs w:val="24"/>
          </w:rPr>
          <w:fldChar w:fldCharType="begin"/>
        </w:r>
        <w:r w:rsidR="00402E2C" w:rsidRPr="001607AD">
          <w:rPr>
            <w:rFonts w:ascii="Cambria Math" w:hAnsi="Cambria Math"/>
            <w:sz w:val="24"/>
            <w:szCs w:val="24"/>
          </w:rPr>
          <w:instrText xml:space="preserve"> PAGE   \* MERGEFORMAT </w:instrText>
        </w:r>
        <w:r w:rsidR="00402E2C" w:rsidRPr="001607AD">
          <w:rPr>
            <w:rFonts w:ascii="Cambria Math" w:hAnsi="Cambria Math"/>
            <w:sz w:val="24"/>
            <w:szCs w:val="24"/>
          </w:rPr>
          <w:fldChar w:fldCharType="separate"/>
        </w:r>
        <w:r w:rsidR="00A621B6">
          <w:rPr>
            <w:rFonts w:ascii="Cambria Math" w:hAnsi="Cambria Math"/>
            <w:noProof/>
            <w:sz w:val="24"/>
            <w:szCs w:val="24"/>
          </w:rPr>
          <w:t>21</w:t>
        </w:r>
        <w:r w:rsidR="00402E2C" w:rsidRPr="001607AD">
          <w:rPr>
            <w:rFonts w:ascii="Cambria Math" w:hAnsi="Cambria Math"/>
            <w:noProof/>
            <w:sz w:val="24"/>
            <w:szCs w:val="24"/>
          </w:rPr>
          <w:fldChar w:fldCharType="end"/>
        </w:r>
      </w:sdtContent>
    </w:sdt>
    <w:r w:rsidR="00402E2C">
      <w:rPr>
        <w:rFonts w:ascii="Cambria Math" w:hAnsi="Cambria Math"/>
        <w:noProof/>
        <w:sz w:val="24"/>
        <w:szCs w:val="24"/>
      </w:rPr>
      <w:t xml:space="preserve"> | </w:t>
    </w:r>
    <w:r w:rsidR="00A621B6" w:rsidRPr="00A621B6">
      <w:rPr>
        <w:rFonts w:ascii="Cambria Math" w:hAnsi="Cambria Math"/>
        <w:bCs/>
        <w:i/>
        <w:iCs/>
        <w:sz w:val="24"/>
        <w:szCs w:val="24"/>
      </w:rPr>
      <w:t>Financial and Economic Risk in Developing Markets</w:t>
    </w:r>
    <w:r w:rsidR="00092AB1">
      <w:tab/>
    </w:r>
  </w:p>
  <w:p w14:paraId="2DD9B69E" w14:textId="77777777" w:rsidR="00D43556" w:rsidRDefault="00D4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0B2D" w14:textId="77777777" w:rsidR="00A60DF0" w:rsidRDefault="00A60DF0"/>
  <w:tbl>
    <w:tblPr>
      <w:tblW w:w="5000" w:type="pct"/>
      <w:tblBorders>
        <w:insideV w:val="single" w:sz="4" w:space="0" w:color="auto"/>
      </w:tblBorders>
      <w:tblLook w:val="04A0" w:firstRow="1" w:lastRow="0" w:firstColumn="1" w:lastColumn="0" w:noHBand="0" w:noVBand="1"/>
    </w:tblPr>
    <w:tblGrid>
      <w:gridCol w:w="9027"/>
    </w:tblGrid>
    <w:tr w:rsidR="00D81421" w:rsidRPr="001607AD" w14:paraId="079CEDB2" w14:textId="77777777" w:rsidTr="00092AB1">
      <w:trPr>
        <w:trHeight w:val="1548"/>
      </w:trPr>
      <w:tc>
        <w:tcPr>
          <w:tcW w:w="5000" w:type="pct"/>
        </w:tcPr>
        <w:p w14:paraId="29F61CEF" w14:textId="37BE4BA8" w:rsidR="00CC3582" w:rsidRPr="001607AD" w:rsidRDefault="00A621B6" w:rsidP="00A733B1">
          <w:pPr>
            <w:pStyle w:val="Footer"/>
            <w:tabs>
              <w:tab w:val="clear" w:pos="4680"/>
              <w:tab w:val="clear" w:pos="9360"/>
            </w:tabs>
            <w:ind w:firstLine="0"/>
            <w:rPr>
              <w:rFonts w:ascii="Cambria Math" w:hAnsi="Cambria Math"/>
              <w:sz w:val="18"/>
              <w:szCs w:val="18"/>
            </w:rPr>
          </w:pPr>
          <w:r>
            <w:rPr>
              <w:rFonts w:ascii="Cambria Math" w:hAnsi="Cambria Math"/>
              <w:sz w:val="18"/>
              <w:szCs w:val="18"/>
            </w:rPr>
            <w:t>©202</w:t>
          </w:r>
          <w:r w:rsidR="009D3D59">
            <w:rPr>
              <w:rFonts w:ascii="Cambria Math" w:hAnsi="Cambria Math"/>
              <w:sz w:val="18"/>
              <w:szCs w:val="18"/>
            </w:rPr>
            <w:t>3</w:t>
          </w:r>
          <w:r w:rsidR="00165F34" w:rsidRPr="001607AD">
            <w:rPr>
              <w:rFonts w:ascii="Cambria Math" w:hAnsi="Cambria Math"/>
              <w:sz w:val="18"/>
              <w:szCs w:val="18"/>
            </w:rPr>
            <w:t xml:space="preserve"> The Author(s). </w:t>
          </w:r>
        </w:p>
        <w:p w14:paraId="53C61EA3" w14:textId="6BAFE9B8" w:rsidR="00D81421" w:rsidRPr="001607AD" w:rsidRDefault="00165F34" w:rsidP="00A733B1">
          <w:pPr>
            <w:pStyle w:val="Footer"/>
            <w:tabs>
              <w:tab w:val="clear" w:pos="4680"/>
              <w:tab w:val="clear" w:pos="9360"/>
            </w:tabs>
            <w:ind w:firstLine="0"/>
            <w:rPr>
              <w:rFonts w:ascii="Cambria Math" w:hAnsi="Cambria Math"/>
              <w:sz w:val="18"/>
              <w:szCs w:val="18"/>
            </w:rPr>
          </w:pPr>
          <w:r w:rsidRPr="001607AD">
            <w:rPr>
              <w:rFonts w:ascii="Cambria Math" w:hAnsi="Cambria Math"/>
              <w:sz w:val="18"/>
              <w:szCs w:val="18"/>
            </w:rPr>
            <w:t>This is an open-access article under CC-BY-SA license (</w:t>
          </w:r>
          <w:hyperlink r:id="rId1" w:history="1">
            <w:r w:rsidR="00B863B3" w:rsidRPr="001607AD">
              <w:rPr>
                <w:rStyle w:val="Hyperlink"/>
                <w:rFonts w:ascii="Cambria Math" w:hAnsi="Cambria Math"/>
                <w:color w:val="auto"/>
                <w:sz w:val="18"/>
                <w:szCs w:val="18"/>
              </w:rPr>
              <w:t>https://creativecommons.org/licence/by-sa/4.0/</w:t>
            </w:r>
          </w:hyperlink>
          <w:r w:rsidR="00B863B3" w:rsidRPr="001607AD">
            <w:rPr>
              <w:rFonts w:ascii="Cambria Math" w:hAnsi="Cambria Math"/>
              <w:sz w:val="18"/>
              <w:szCs w:val="18"/>
            </w:rPr>
            <w:t xml:space="preserve">) </w:t>
          </w:r>
        </w:p>
        <w:p w14:paraId="646D8BC3" w14:textId="376C3E51" w:rsidR="00A733B1" w:rsidRPr="001607AD" w:rsidRDefault="008D0736" w:rsidP="00A733B1">
          <w:pPr>
            <w:pStyle w:val="Footer"/>
            <w:tabs>
              <w:tab w:val="clear" w:pos="4680"/>
              <w:tab w:val="clear" w:pos="9360"/>
            </w:tabs>
            <w:ind w:firstLine="0"/>
            <w:rPr>
              <w:rFonts w:ascii="Cambria Math" w:hAnsi="Cambria Math"/>
            </w:rPr>
          </w:pPr>
          <w:r w:rsidRPr="001607AD">
            <w:rPr>
              <w:rFonts w:ascii="Cambria Math" w:hAnsi="Cambria Math"/>
              <w:noProof/>
            </w:rPr>
            <w:drawing>
              <wp:inline distT="0" distB="0" distL="0" distR="0" wp14:anchorId="215704F8" wp14:editId="63AE7931">
                <wp:extent cx="510540" cy="175260"/>
                <wp:effectExtent l="0" t="0" r="3810" b="0"/>
                <wp:docPr id="2" name="Picture 2"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sign with a person in a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0540" cy="175260"/>
                        </a:xfrm>
                        <a:prstGeom prst="rect">
                          <a:avLst/>
                        </a:prstGeom>
                        <a:noFill/>
                        <a:ln>
                          <a:noFill/>
                        </a:ln>
                      </pic:spPr>
                    </pic:pic>
                  </a:graphicData>
                </a:graphic>
              </wp:inline>
            </w:drawing>
          </w:r>
        </w:p>
        <w:p w14:paraId="34DF157F" w14:textId="1C9475D2" w:rsidR="00A60DF0" w:rsidRPr="001607AD" w:rsidRDefault="00A60DF0" w:rsidP="00A60DF0">
          <w:pPr>
            <w:pStyle w:val="Footer"/>
            <w:tabs>
              <w:tab w:val="clear" w:pos="4680"/>
            </w:tabs>
            <w:ind w:firstLine="0"/>
            <w:rPr>
              <w:rFonts w:ascii="Cambria Math" w:hAnsi="Cambria Math"/>
              <w:sz w:val="18"/>
              <w:szCs w:val="18"/>
              <w:vertAlign w:val="superscript"/>
            </w:rPr>
          </w:pPr>
        </w:p>
      </w:tc>
    </w:tr>
  </w:tbl>
  <w:p w14:paraId="384C84C1" w14:textId="24AB5D2E" w:rsidR="00D81421" w:rsidRDefault="00D81421" w:rsidP="00D81421">
    <w:pPr>
      <w:pStyle w:val="Footer"/>
      <w:tabs>
        <w:tab w:val="clear" w:pos="468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ACD9" w14:textId="77777777" w:rsidR="00A42AD4" w:rsidRDefault="00A42AD4" w:rsidP="00D81421">
      <w:pPr>
        <w:spacing w:line="240" w:lineRule="auto"/>
      </w:pPr>
      <w:r>
        <w:separator/>
      </w:r>
    </w:p>
  </w:footnote>
  <w:footnote w:type="continuationSeparator" w:id="0">
    <w:p w14:paraId="77352667" w14:textId="77777777" w:rsidR="00A42AD4" w:rsidRDefault="00A42AD4" w:rsidP="00D81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522B" w14:textId="42142E02" w:rsidR="00D43556" w:rsidRPr="00FC4F54" w:rsidRDefault="00B67450" w:rsidP="00B67450">
    <w:pPr>
      <w:pStyle w:val="Header"/>
      <w:ind w:firstLine="0"/>
      <w:rPr>
        <w:rFonts w:ascii="Cambria Math" w:hAnsi="Cambria Math"/>
        <w:i/>
        <w:iCs/>
        <w:sz w:val="24"/>
        <w:szCs w:val="24"/>
        <w:lang w:val="en-ID"/>
      </w:rPr>
    </w:pPr>
    <w:r w:rsidRPr="00B67450">
      <w:rPr>
        <w:rFonts w:ascii="Cambria Math" w:hAnsi="Cambria Math"/>
        <w:i/>
        <w:iCs/>
        <w:sz w:val="24"/>
        <w:szCs w:val="24"/>
      </w:rPr>
      <w:t>Ahmad Dafa Bahits Rizqulloh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9D2" w14:textId="77777777" w:rsidR="00B863B3" w:rsidRDefault="00B863B3" w:rsidP="008F3504">
    <w:pPr>
      <w:pStyle w:val="Header"/>
      <w:tabs>
        <w:tab w:val="clear" w:pos="4680"/>
      </w:tabs>
      <w:ind w:firstLine="0"/>
      <w:jc w:val="center"/>
      <w:rPr>
        <w:i/>
        <w:iCs/>
      </w:rPr>
    </w:pPr>
  </w:p>
  <w:p w14:paraId="4AD07C7A" w14:textId="0E7CC0ED" w:rsidR="00E448F6" w:rsidRPr="00D65881" w:rsidRDefault="00E448F6" w:rsidP="00D7729F">
    <w:pPr>
      <w:pStyle w:val="Header"/>
      <w:tabs>
        <w:tab w:val="clear" w:pos="4680"/>
      </w:tabs>
      <w:ind w:firstLine="0"/>
      <w:rPr>
        <w:i/>
        <w:iCs/>
      </w:rPr>
    </w:pPr>
  </w:p>
  <w:p w14:paraId="3DA70ACE" w14:textId="77777777" w:rsidR="00D3353C" w:rsidRDefault="00D335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400" w:firstRow="0" w:lastRow="0" w:firstColumn="0" w:lastColumn="0" w:noHBand="0" w:noVBand="1"/>
    </w:tblPr>
    <w:tblGrid>
      <w:gridCol w:w="6658"/>
      <w:gridCol w:w="2369"/>
    </w:tblGrid>
    <w:tr w:rsidR="00A621B6" w:rsidRPr="00A621B6" w14:paraId="29B8EE2E" w14:textId="77777777" w:rsidTr="00E376FC">
      <w:trPr>
        <w:trHeight w:val="1330"/>
      </w:trPr>
      <w:tc>
        <w:tcPr>
          <w:tcW w:w="6658" w:type="dxa"/>
        </w:tcPr>
        <w:p w14:paraId="2DFCF328" w14:textId="77777777" w:rsidR="00A621B6" w:rsidRPr="00A621B6" w:rsidRDefault="00A621B6" w:rsidP="00A621B6">
          <w:pPr>
            <w:pBdr>
              <w:top w:val="nil"/>
              <w:left w:val="nil"/>
              <w:bottom w:val="nil"/>
              <w:right w:val="nil"/>
              <w:between w:val="nil"/>
            </w:pBdr>
            <w:tabs>
              <w:tab w:val="center" w:pos="4680"/>
              <w:tab w:val="right" w:pos="9360"/>
            </w:tabs>
            <w:spacing w:line="276" w:lineRule="auto"/>
            <w:ind w:firstLine="0"/>
            <w:rPr>
              <w:rFonts w:ascii="Cambria Math" w:eastAsia="Cambria Math" w:hAnsi="Cambria Math" w:cs="Cambria Math"/>
              <w:b/>
              <w:sz w:val="20"/>
              <w:szCs w:val="20"/>
              <w:lang w:val="en"/>
              <w14:ligatures w14:val="none"/>
            </w:rPr>
          </w:pPr>
          <w:r w:rsidRPr="00A621B6">
            <w:rPr>
              <w:rFonts w:eastAsia="Tahoma" w:cs="Tahoma"/>
              <w:noProof/>
              <w:szCs w:val="28"/>
              <w14:ligatures w14:val="none"/>
            </w:rPr>
            <w:drawing>
              <wp:anchor distT="0" distB="0" distL="114300" distR="114300" simplePos="0" relativeHeight="251659264" behindDoc="0" locked="0" layoutInCell="1" hidden="0" allowOverlap="1" wp14:anchorId="369621F8" wp14:editId="38A1F6F8">
                <wp:simplePos x="0" y="0"/>
                <wp:positionH relativeFrom="column">
                  <wp:posOffset>114300</wp:posOffset>
                </wp:positionH>
                <wp:positionV relativeFrom="paragraph">
                  <wp:posOffset>161925</wp:posOffset>
                </wp:positionV>
                <wp:extent cx="718820" cy="709295"/>
                <wp:effectExtent l="0" t="0" r="0" b="0"/>
                <wp:wrapSquare wrapText="bothSides" distT="0" distB="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661" b="661"/>
                        <a:stretch>
                          <a:fillRect/>
                        </a:stretch>
                      </pic:blipFill>
                      <pic:spPr>
                        <a:xfrm>
                          <a:off x="0" y="0"/>
                          <a:ext cx="718820" cy="709295"/>
                        </a:xfrm>
                        <a:prstGeom prst="rect">
                          <a:avLst/>
                        </a:prstGeom>
                        <a:ln/>
                      </pic:spPr>
                    </pic:pic>
                  </a:graphicData>
                </a:graphic>
              </wp:anchor>
            </w:drawing>
          </w:r>
        </w:p>
        <w:p w14:paraId="5C090764" w14:textId="77777777" w:rsidR="00A621B6" w:rsidRPr="00A621B6" w:rsidRDefault="00A621B6" w:rsidP="00A621B6">
          <w:pPr>
            <w:pBdr>
              <w:top w:val="nil"/>
              <w:left w:val="nil"/>
              <w:bottom w:val="nil"/>
              <w:right w:val="nil"/>
              <w:between w:val="nil"/>
            </w:pBdr>
            <w:tabs>
              <w:tab w:val="center" w:pos="4680"/>
              <w:tab w:val="right" w:pos="9360"/>
            </w:tabs>
            <w:spacing w:line="276" w:lineRule="auto"/>
            <w:ind w:firstLine="0"/>
            <w:rPr>
              <w:rFonts w:ascii="Cambria Math" w:eastAsia="Cambria Math" w:hAnsi="Cambria Math" w:cs="Cambria Math"/>
              <w:b/>
              <w:szCs w:val="28"/>
              <w:lang w:val="en"/>
              <w14:ligatures w14:val="none"/>
            </w:rPr>
          </w:pPr>
          <w:bookmarkStart w:id="2" w:name="_heading=h.8iiu7d9dm9kp" w:colFirst="0" w:colLast="0"/>
          <w:bookmarkEnd w:id="2"/>
          <w:r w:rsidRPr="00A621B6">
            <w:rPr>
              <w:rFonts w:ascii="Cambria Math" w:eastAsia="Cambria Math" w:hAnsi="Cambria Math" w:cs="Cambria Math"/>
              <w:b/>
              <w:szCs w:val="28"/>
              <w:lang w:val="en"/>
              <w14:ligatures w14:val="none"/>
            </w:rPr>
            <w:t xml:space="preserve">Financial and Economic Risk </w:t>
          </w:r>
        </w:p>
        <w:p w14:paraId="616D7A91" w14:textId="77777777" w:rsidR="00A621B6" w:rsidRPr="00A621B6" w:rsidRDefault="00A621B6" w:rsidP="00A621B6">
          <w:pPr>
            <w:pBdr>
              <w:top w:val="nil"/>
              <w:left w:val="nil"/>
              <w:bottom w:val="nil"/>
              <w:right w:val="nil"/>
              <w:between w:val="nil"/>
            </w:pBdr>
            <w:tabs>
              <w:tab w:val="center" w:pos="4680"/>
              <w:tab w:val="right" w:pos="9360"/>
            </w:tabs>
            <w:spacing w:line="276" w:lineRule="auto"/>
            <w:ind w:firstLine="0"/>
            <w:rPr>
              <w:rFonts w:ascii="Cambria Math" w:eastAsia="Cambria Math" w:hAnsi="Cambria Math" w:cs="Cambria Math"/>
              <w:b/>
              <w:color w:val="000000"/>
              <w:szCs w:val="28"/>
              <w:lang w:val="en"/>
              <w14:ligatures w14:val="none"/>
            </w:rPr>
          </w:pPr>
          <w:bookmarkStart w:id="3" w:name="_heading=h.qnj9z7kqyznx" w:colFirst="0" w:colLast="0"/>
          <w:bookmarkEnd w:id="3"/>
          <w:r w:rsidRPr="00A621B6">
            <w:rPr>
              <w:rFonts w:ascii="Cambria Math" w:eastAsia="Cambria Math" w:hAnsi="Cambria Math" w:cs="Cambria Math"/>
              <w:b/>
              <w:szCs w:val="28"/>
              <w:lang w:val="en"/>
              <w14:ligatures w14:val="none"/>
            </w:rPr>
            <w:t>in Developing Markets</w:t>
          </w:r>
        </w:p>
        <w:p w14:paraId="4003F474" w14:textId="0F39DDC1" w:rsidR="00A621B6" w:rsidRPr="00A621B6" w:rsidRDefault="00A621B6" w:rsidP="00A621B6">
          <w:pPr>
            <w:pBdr>
              <w:top w:val="nil"/>
              <w:left w:val="nil"/>
              <w:bottom w:val="nil"/>
              <w:right w:val="nil"/>
              <w:between w:val="nil"/>
            </w:pBdr>
            <w:tabs>
              <w:tab w:val="center" w:pos="4680"/>
              <w:tab w:val="right" w:pos="9360"/>
            </w:tabs>
            <w:spacing w:line="276" w:lineRule="auto"/>
            <w:ind w:firstLine="0"/>
            <w:jc w:val="left"/>
            <w:rPr>
              <w:rFonts w:ascii="Cambria Math" w:eastAsia="Cambria Math" w:hAnsi="Cambria Math" w:cs="Cambria Math"/>
              <w:color w:val="000000"/>
              <w:sz w:val="22"/>
              <w:lang w:val="en"/>
              <w14:ligatures w14:val="none"/>
            </w:rPr>
          </w:pPr>
          <w:r w:rsidRPr="00A621B6">
            <w:rPr>
              <w:rFonts w:ascii="Cambria Math" w:eastAsia="Cambria Math" w:hAnsi="Cambria Math" w:cs="Cambria Math"/>
              <w:color w:val="000000"/>
              <w:sz w:val="22"/>
              <w:lang w:val="en"/>
              <w14:ligatures w14:val="none"/>
            </w:rPr>
            <w:t xml:space="preserve">Volume </w:t>
          </w:r>
          <w:r w:rsidR="009D3D59">
            <w:rPr>
              <w:rFonts w:ascii="Cambria Math" w:eastAsia="Cambria Math" w:hAnsi="Cambria Math" w:cs="Cambria Math"/>
              <w:color w:val="000000"/>
              <w:sz w:val="22"/>
              <w:lang w:val="en"/>
              <w14:ligatures w14:val="none"/>
            </w:rPr>
            <w:t>2</w:t>
          </w:r>
          <w:r w:rsidRPr="00A621B6">
            <w:rPr>
              <w:rFonts w:ascii="Cambria Math" w:eastAsia="Cambria Math" w:hAnsi="Cambria Math" w:cs="Cambria Math"/>
              <w:color w:val="000000"/>
              <w:sz w:val="22"/>
              <w:lang w:val="en"/>
              <w14:ligatures w14:val="none"/>
            </w:rPr>
            <w:t xml:space="preserve">, Number </w:t>
          </w:r>
          <w:r>
            <w:rPr>
              <w:rFonts w:ascii="Cambria Math" w:eastAsia="Cambria Math" w:hAnsi="Cambria Math" w:cs="Cambria Math"/>
              <w:color w:val="000000"/>
              <w:sz w:val="22"/>
              <w:lang w:val="en"/>
              <w14:ligatures w14:val="none"/>
            </w:rPr>
            <w:t>2</w:t>
          </w:r>
          <w:r w:rsidRPr="00A621B6">
            <w:rPr>
              <w:rFonts w:ascii="Cambria Math" w:eastAsia="Cambria Math" w:hAnsi="Cambria Math" w:cs="Cambria Math"/>
              <w:color w:val="000000"/>
              <w:sz w:val="22"/>
              <w:lang w:val="en"/>
              <w14:ligatures w14:val="none"/>
            </w:rPr>
            <w:t>, 20</w:t>
          </w:r>
          <w:r>
            <w:rPr>
              <w:rFonts w:ascii="Cambria Math" w:eastAsia="Cambria Math" w:hAnsi="Cambria Math" w:cs="Cambria Math"/>
              <w:color w:val="000000"/>
              <w:sz w:val="22"/>
              <w:lang w:val="en"/>
              <w14:ligatures w14:val="none"/>
            </w:rPr>
            <w:t>2</w:t>
          </w:r>
          <w:r w:rsidR="009D3D59">
            <w:rPr>
              <w:rFonts w:ascii="Cambria Math" w:eastAsia="Cambria Math" w:hAnsi="Cambria Math" w:cs="Cambria Math"/>
              <w:color w:val="000000"/>
              <w:sz w:val="22"/>
              <w:lang w:val="en"/>
              <w14:ligatures w14:val="none"/>
            </w:rPr>
            <w:t>3</w:t>
          </w:r>
        </w:p>
      </w:tc>
      <w:tc>
        <w:tcPr>
          <w:tcW w:w="2369" w:type="dxa"/>
          <w:vAlign w:val="center"/>
        </w:tcPr>
        <w:p w14:paraId="72C5CF91" w14:textId="77777777" w:rsidR="00A621B6" w:rsidRPr="00A621B6" w:rsidRDefault="00A621B6" w:rsidP="00A621B6">
          <w:pPr>
            <w:pBdr>
              <w:top w:val="nil"/>
              <w:left w:val="nil"/>
              <w:bottom w:val="nil"/>
              <w:right w:val="nil"/>
              <w:between w:val="nil"/>
            </w:pBdr>
            <w:tabs>
              <w:tab w:val="center" w:pos="4680"/>
              <w:tab w:val="right" w:pos="9360"/>
            </w:tabs>
            <w:spacing w:line="240" w:lineRule="auto"/>
            <w:ind w:firstLine="0"/>
            <w:jc w:val="center"/>
            <w:rPr>
              <w:rFonts w:eastAsia="Tahoma" w:cs="Tahoma"/>
              <w:color w:val="000000"/>
              <w:szCs w:val="28"/>
              <w:lang w:val="en"/>
              <w14:ligatures w14:val="none"/>
            </w:rPr>
          </w:pPr>
          <w:r w:rsidRPr="00A621B6">
            <w:rPr>
              <w:rFonts w:eastAsia="Tahoma" w:cs="Tahoma"/>
              <w:noProof/>
              <w:color w:val="000000"/>
              <w:szCs w:val="28"/>
              <w14:ligatures w14:val="none"/>
            </w:rPr>
            <w:drawing>
              <wp:inline distT="0" distB="0" distL="0" distR="0" wp14:anchorId="388C53B2" wp14:editId="7A73B811">
                <wp:extent cx="1225927" cy="3105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25927" cy="310515"/>
                        </a:xfrm>
                        <a:prstGeom prst="rect">
                          <a:avLst/>
                        </a:prstGeom>
                        <a:ln/>
                      </pic:spPr>
                    </pic:pic>
                  </a:graphicData>
                </a:graphic>
              </wp:inline>
            </w:drawing>
          </w:r>
        </w:p>
      </w:tc>
    </w:tr>
  </w:tbl>
  <w:p w14:paraId="245DDA57" w14:textId="77777777" w:rsidR="00D81421" w:rsidRPr="00D81421" w:rsidRDefault="00D81421" w:rsidP="00A621B6">
    <w:pPr>
      <w:pStyle w:val="Header"/>
      <w:ind w:firstLine="0"/>
    </w:pPr>
  </w:p>
  <w:p w14:paraId="05A00FA1" w14:textId="77777777" w:rsidR="00D81421" w:rsidRDefault="00D81421" w:rsidP="00D8142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291"/>
    <w:multiLevelType w:val="hybridMultilevel"/>
    <w:tmpl w:val="013488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8837D59"/>
    <w:multiLevelType w:val="multilevel"/>
    <w:tmpl w:val="2A78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725E34"/>
    <w:multiLevelType w:val="multilevel"/>
    <w:tmpl w:val="554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712409">
    <w:abstractNumId w:val="1"/>
  </w:num>
  <w:num w:numId="2" w16cid:durableId="413622639">
    <w:abstractNumId w:val="0"/>
  </w:num>
  <w:num w:numId="3" w16cid:durableId="178086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zNjaxNDQ1sTS3MDFQ0lEKTi0uzszPAykwrgUARAnApywAAAA="/>
  </w:docVars>
  <w:rsids>
    <w:rsidRoot w:val="00D81421"/>
    <w:rsid w:val="0001751C"/>
    <w:rsid w:val="0002683C"/>
    <w:rsid w:val="00064227"/>
    <w:rsid w:val="000650C1"/>
    <w:rsid w:val="000869E2"/>
    <w:rsid w:val="00092AB1"/>
    <w:rsid w:val="000B4AC3"/>
    <w:rsid w:val="000D3B6D"/>
    <w:rsid w:val="000E4C72"/>
    <w:rsid w:val="001152DC"/>
    <w:rsid w:val="001607AD"/>
    <w:rsid w:val="00165F34"/>
    <w:rsid w:val="00182000"/>
    <w:rsid w:val="001925C6"/>
    <w:rsid w:val="001950AB"/>
    <w:rsid w:val="001B3B9E"/>
    <w:rsid w:val="001B717E"/>
    <w:rsid w:val="001C31C6"/>
    <w:rsid w:val="001C3CB9"/>
    <w:rsid w:val="001D1057"/>
    <w:rsid w:val="001E6071"/>
    <w:rsid w:val="001F3AE4"/>
    <w:rsid w:val="001F581C"/>
    <w:rsid w:val="00202062"/>
    <w:rsid w:val="002038D3"/>
    <w:rsid w:val="00213872"/>
    <w:rsid w:val="00215C27"/>
    <w:rsid w:val="00224ADB"/>
    <w:rsid w:val="00224D87"/>
    <w:rsid w:val="00227E3B"/>
    <w:rsid w:val="00230522"/>
    <w:rsid w:val="00232194"/>
    <w:rsid w:val="00257708"/>
    <w:rsid w:val="0028584A"/>
    <w:rsid w:val="002B4208"/>
    <w:rsid w:val="002C2D1B"/>
    <w:rsid w:val="002C7670"/>
    <w:rsid w:val="002D123C"/>
    <w:rsid w:val="002D3CC0"/>
    <w:rsid w:val="002D54D6"/>
    <w:rsid w:val="003000F7"/>
    <w:rsid w:val="00326A9C"/>
    <w:rsid w:val="00342BC4"/>
    <w:rsid w:val="003467AC"/>
    <w:rsid w:val="00351F7D"/>
    <w:rsid w:val="00357DB8"/>
    <w:rsid w:val="003927E9"/>
    <w:rsid w:val="003B6899"/>
    <w:rsid w:val="003F05B4"/>
    <w:rsid w:val="003F297B"/>
    <w:rsid w:val="00402B7B"/>
    <w:rsid w:val="00402E2C"/>
    <w:rsid w:val="00417320"/>
    <w:rsid w:val="0042651C"/>
    <w:rsid w:val="0044407A"/>
    <w:rsid w:val="004963B6"/>
    <w:rsid w:val="004A519D"/>
    <w:rsid w:val="004B0BD8"/>
    <w:rsid w:val="004D561A"/>
    <w:rsid w:val="004F611E"/>
    <w:rsid w:val="00502166"/>
    <w:rsid w:val="005060C4"/>
    <w:rsid w:val="005125BF"/>
    <w:rsid w:val="00530E7E"/>
    <w:rsid w:val="00534EA4"/>
    <w:rsid w:val="00544525"/>
    <w:rsid w:val="00570215"/>
    <w:rsid w:val="00571CB8"/>
    <w:rsid w:val="005A2E78"/>
    <w:rsid w:val="005A36A9"/>
    <w:rsid w:val="005A7CA3"/>
    <w:rsid w:val="005B0764"/>
    <w:rsid w:val="005C0ADB"/>
    <w:rsid w:val="005E5248"/>
    <w:rsid w:val="00612458"/>
    <w:rsid w:val="00626A8E"/>
    <w:rsid w:val="00673032"/>
    <w:rsid w:val="00674299"/>
    <w:rsid w:val="00686BFC"/>
    <w:rsid w:val="0069200D"/>
    <w:rsid w:val="00693D4A"/>
    <w:rsid w:val="00695D31"/>
    <w:rsid w:val="006A14CA"/>
    <w:rsid w:val="006F77BF"/>
    <w:rsid w:val="006F7D00"/>
    <w:rsid w:val="0072755C"/>
    <w:rsid w:val="0075084D"/>
    <w:rsid w:val="007538B7"/>
    <w:rsid w:val="0078712E"/>
    <w:rsid w:val="007A4A21"/>
    <w:rsid w:val="007B07D6"/>
    <w:rsid w:val="007B1571"/>
    <w:rsid w:val="007B7BE3"/>
    <w:rsid w:val="007D239F"/>
    <w:rsid w:val="007F7A45"/>
    <w:rsid w:val="00804622"/>
    <w:rsid w:val="00820444"/>
    <w:rsid w:val="00855DF8"/>
    <w:rsid w:val="00862AAA"/>
    <w:rsid w:val="008636C3"/>
    <w:rsid w:val="008933CD"/>
    <w:rsid w:val="008C463D"/>
    <w:rsid w:val="008D0736"/>
    <w:rsid w:val="008D3611"/>
    <w:rsid w:val="008D3F9F"/>
    <w:rsid w:val="008D6F4C"/>
    <w:rsid w:val="008E46E8"/>
    <w:rsid w:val="008F3504"/>
    <w:rsid w:val="00921BA6"/>
    <w:rsid w:val="0092606E"/>
    <w:rsid w:val="00931E1F"/>
    <w:rsid w:val="00955D3C"/>
    <w:rsid w:val="0096154E"/>
    <w:rsid w:val="00985417"/>
    <w:rsid w:val="009B1E54"/>
    <w:rsid w:val="009C3EFC"/>
    <w:rsid w:val="009D3D59"/>
    <w:rsid w:val="009F47B3"/>
    <w:rsid w:val="00A00322"/>
    <w:rsid w:val="00A049E6"/>
    <w:rsid w:val="00A058B0"/>
    <w:rsid w:val="00A07BB9"/>
    <w:rsid w:val="00A1270E"/>
    <w:rsid w:val="00A2082E"/>
    <w:rsid w:val="00A20B01"/>
    <w:rsid w:val="00A22AC7"/>
    <w:rsid w:val="00A34FD7"/>
    <w:rsid w:val="00A42AD4"/>
    <w:rsid w:val="00A43118"/>
    <w:rsid w:val="00A45880"/>
    <w:rsid w:val="00A60DF0"/>
    <w:rsid w:val="00A621B6"/>
    <w:rsid w:val="00A71A0D"/>
    <w:rsid w:val="00A733B1"/>
    <w:rsid w:val="00A773D3"/>
    <w:rsid w:val="00A9644E"/>
    <w:rsid w:val="00AC14D0"/>
    <w:rsid w:val="00AE5854"/>
    <w:rsid w:val="00AF0181"/>
    <w:rsid w:val="00AF4F09"/>
    <w:rsid w:val="00B03C0B"/>
    <w:rsid w:val="00B05BE0"/>
    <w:rsid w:val="00B36528"/>
    <w:rsid w:val="00B64A8D"/>
    <w:rsid w:val="00B67450"/>
    <w:rsid w:val="00B8127E"/>
    <w:rsid w:val="00B862D1"/>
    <w:rsid w:val="00B863B3"/>
    <w:rsid w:val="00BA1FB4"/>
    <w:rsid w:val="00BB6CDC"/>
    <w:rsid w:val="00BD15C3"/>
    <w:rsid w:val="00BE5EFE"/>
    <w:rsid w:val="00C04FD3"/>
    <w:rsid w:val="00C27130"/>
    <w:rsid w:val="00C41460"/>
    <w:rsid w:val="00C704DD"/>
    <w:rsid w:val="00CA0257"/>
    <w:rsid w:val="00CA4A82"/>
    <w:rsid w:val="00CC3582"/>
    <w:rsid w:val="00CC370C"/>
    <w:rsid w:val="00CD45FF"/>
    <w:rsid w:val="00CF7E84"/>
    <w:rsid w:val="00D02439"/>
    <w:rsid w:val="00D22152"/>
    <w:rsid w:val="00D3353C"/>
    <w:rsid w:val="00D43556"/>
    <w:rsid w:val="00D65881"/>
    <w:rsid w:val="00D7729F"/>
    <w:rsid w:val="00D81421"/>
    <w:rsid w:val="00DB385C"/>
    <w:rsid w:val="00DF1A4F"/>
    <w:rsid w:val="00E448F6"/>
    <w:rsid w:val="00E469D3"/>
    <w:rsid w:val="00E74968"/>
    <w:rsid w:val="00E828A5"/>
    <w:rsid w:val="00EA77B2"/>
    <w:rsid w:val="00EE40A0"/>
    <w:rsid w:val="00F0467B"/>
    <w:rsid w:val="00F127AE"/>
    <w:rsid w:val="00F25BCE"/>
    <w:rsid w:val="00F33097"/>
    <w:rsid w:val="00F340D0"/>
    <w:rsid w:val="00F3569F"/>
    <w:rsid w:val="00F55F65"/>
    <w:rsid w:val="00F56E38"/>
    <w:rsid w:val="00F744EF"/>
    <w:rsid w:val="00F96803"/>
    <w:rsid w:val="00F9744F"/>
    <w:rsid w:val="00FC4F54"/>
    <w:rsid w:val="00FE34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44986"/>
  <w15:docId w15:val="{6AFC8436-D5E8-4265-8D50-CB4E3416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23C"/>
    <w:pPr>
      <w:spacing w:after="0" w:line="360" w:lineRule="auto"/>
      <w:ind w:firstLine="720"/>
      <w:jc w:val="both"/>
    </w:pPr>
    <w:rPr>
      <w:rFonts w:ascii="Tahoma" w:hAnsi="Tahoma"/>
      <w:sz w:val="28"/>
    </w:rPr>
  </w:style>
  <w:style w:type="paragraph" w:styleId="Heading1">
    <w:name w:val="heading 1"/>
    <w:basedOn w:val="Normal"/>
    <w:next w:val="Normal"/>
    <w:link w:val="Heading1Char"/>
    <w:autoRedefine/>
    <w:uiPriority w:val="9"/>
    <w:qFormat/>
    <w:rsid w:val="001607AD"/>
    <w:pPr>
      <w:keepNext/>
      <w:keepLines/>
      <w:spacing w:before="360"/>
      <w:ind w:firstLine="0"/>
      <w:jc w:val="left"/>
      <w:outlineLvl w:val="0"/>
    </w:pPr>
    <w:rPr>
      <w:rFonts w:ascii="Garamond" w:eastAsiaTheme="majorEastAsia" w:hAnsi="Garamond" w:cstheme="majorBidi"/>
      <w:b/>
      <w:color w:val="000099"/>
      <w:sz w:val="32"/>
      <w:szCs w:val="32"/>
    </w:rPr>
  </w:style>
  <w:style w:type="paragraph" w:styleId="Heading2">
    <w:name w:val="heading 2"/>
    <w:basedOn w:val="Normal"/>
    <w:next w:val="Normal"/>
    <w:link w:val="Heading2Char"/>
    <w:autoRedefine/>
    <w:uiPriority w:val="9"/>
    <w:unhideWhenUsed/>
    <w:qFormat/>
    <w:rsid w:val="00F3569F"/>
    <w:pPr>
      <w:keepNext/>
      <w:keepLines/>
      <w:spacing w:before="120"/>
      <w:ind w:firstLine="0"/>
      <w:jc w:val="left"/>
      <w:outlineLvl w:val="1"/>
    </w:pPr>
    <w:rPr>
      <w:rFonts w:ascii="Garamond" w:eastAsiaTheme="majorEastAsia" w:hAnsi="Garamond" w:cstheme="majorBidi"/>
      <w:b/>
      <w:color w:val="000099"/>
      <w:szCs w:val="26"/>
    </w:rPr>
  </w:style>
  <w:style w:type="paragraph" w:styleId="Heading3">
    <w:name w:val="heading 3"/>
    <w:basedOn w:val="Normal"/>
    <w:next w:val="Normal"/>
    <w:link w:val="Heading3Char"/>
    <w:uiPriority w:val="9"/>
    <w:semiHidden/>
    <w:unhideWhenUsed/>
    <w:qFormat/>
    <w:rsid w:val="00165F3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AD"/>
    <w:rPr>
      <w:rFonts w:ascii="Garamond" w:eastAsiaTheme="majorEastAsia" w:hAnsi="Garamond" w:cstheme="majorBidi"/>
      <w:b/>
      <w:color w:val="000099"/>
      <w:sz w:val="32"/>
      <w:szCs w:val="32"/>
    </w:rPr>
  </w:style>
  <w:style w:type="character" w:customStyle="1" w:styleId="Heading2Char">
    <w:name w:val="Heading 2 Char"/>
    <w:basedOn w:val="DefaultParagraphFont"/>
    <w:link w:val="Heading2"/>
    <w:uiPriority w:val="9"/>
    <w:rsid w:val="00F3569F"/>
    <w:rPr>
      <w:rFonts w:ascii="Garamond" w:eastAsiaTheme="majorEastAsia" w:hAnsi="Garamond" w:cstheme="majorBidi"/>
      <w:b/>
      <w:color w:val="000099"/>
      <w:sz w:val="28"/>
      <w:szCs w:val="26"/>
    </w:rPr>
  </w:style>
  <w:style w:type="paragraph" w:styleId="Title">
    <w:name w:val="Title"/>
    <w:basedOn w:val="Normal"/>
    <w:next w:val="Normal"/>
    <w:link w:val="TitleChar"/>
    <w:autoRedefine/>
    <w:uiPriority w:val="10"/>
    <w:qFormat/>
    <w:rsid w:val="00CA0257"/>
    <w:pPr>
      <w:spacing w:after="240" w:line="276" w:lineRule="auto"/>
      <w:ind w:firstLine="0"/>
      <w:contextualSpacing/>
      <w:jc w:val="left"/>
    </w:pPr>
    <w:rPr>
      <w:rFonts w:ascii="Garamond" w:eastAsiaTheme="majorEastAsia" w:hAnsi="Garamond" w:cstheme="majorBidi"/>
      <w:b/>
      <w:spacing w:val="-10"/>
      <w:kern w:val="28"/>
      <w:sz w:val="40"/>
      <w:szCs w:val="56"/>
    </w:rPr>
  </w:style>
  <w:style w:type="character" w:customStyle="1" w:styleId="TitleChar">
    <w:name w:val="Title Char"/>
    <w:basedOn w:val="DefaultParagraphFont"/>
    <w:link w:val="Title"/>
    <w:uiPriority w:val="10"/>
    <w:rsid w:val="00CA0257"/>
    <w:rPr>
      <w:rFonts w:ascii="Garamond" w:eastAsiaTheme="majorEastAsia" w:hAnsi="Garamond" w:cstheme="majorBidi"/>
      <w:b/>
      <w:spacing w:val="-10"/>
      <w:kern w:val="28"/>
      <w:sz w:val="40"/>
      <w:szCs w:val="56"/>
    </w:rPr>
  </w:style>
  <w:style w:type="paragraph" w:styleId="Header">
    <w:name w:val="header"/>
    <w:basedOn w:val="Normal"/>
    <w:link w:val="HeaderChar"/>
    <w:uiPriority w:val="99"/>
    <w:unhideWhenUsed/>
    <w:rsid w:val="00D81421"/>
    <w:pPr>
      <w:tabs>
        <w:tab w:val="center" w:pos="4680"/>
        <w:tab w:val="right" w:pos="9360"/>
      </w:tabs>
      <w:spacing w:line="240" w:lineRule="auto"/>
    </w:pPr>
  </w:style>
  <w:style w:type="character" w:customStyle="1" w:styleId="HeaderChar">
    <w:name w:val="Header Char"/>
    <w:basedOn w:val="DefaultParagraphFont"/>
    <w:link w:val="Header"/>
    <w:uiPriority w:val="99"/>
    <w:rsid w:val="00D81421"/>
    <w:rPr>
      <w:rFonts w:ascii="Times New Roman" w:hAnsi="Times New Roman"/>
      <w:sz w:val="24"/>
    </w:rPr>
  </w:style>
  <w:style w:type="paragraph" w:styleId="Footer">
    <w:name w:val="footer"/>
    <w:basedOn w:val="Normal"/>
    <w:link w:val="FooterChar"/>
    <w:uiPriority w:val="99"/>
    <w:unhideWhenUsed/>
    <w:rsid w:val="00D81421"/>
    <w:pPr>
      <w:tabs>
        <w:tab w:val="center" w:pos="4680"/>
        <w:tab w:val="right" w:pos="9360"/>
      </w:tabs>
      <w:spacing w:line="240" w:lineRule="auto"/>
    </w:pPr>
  </w:style>
  <w:style w:type="character" w:customStyle="1" w:styleId="FooterChar">
    <w:name w:val="Footer Char"/>
    <w:basedOn w:val="DefaultParagraphFont"/>
    <w:link w:val="Footer"/>
    <w:uiPriority w:val="99"/>
    <w:rsid w:val="00D81421"/>
    <w:rPr>
      <w:rFonts w:ascii="Times New Roman" w:hAnsi="Times New Roman"/>
      <w:sz w:val="24"/>
    </w:rPr>
  </w:style>
  <w:style w:type="character" w:styleId="Hyperlink">
    <w:name w:val="Hyperlink"/>
    <w:basedOn w:val="DefaultParagraphFont"/>
    <w:uiPriority w:val="99"/>
    <w:unhideWhenUsed/>
    <w:rsid w:val="00D81421"/>
    <w:rPr>
      <w:color w:val="0563C1" w:themeColor="hyperlink"/>
      <w:u w:val="single"/>
    </w:rPr>
  </w:style>
  <w:style w:type="character" w:customStyle="1" w:styleId="UnresolvedMention1">
    <w:name w:val="Unresolved Mention1"/>
    <w:basedOn w:val="DefaultParagraphFont"/>
    <w:uiPriority w:val="99"/>
    <w:semiHidden/>
    <w:unhideWhenUsed/>
    <w:rsid w:val="00D81421"/>
    <w:rPr>
      <w:color w:val="605E5C"/>
      <w:shd w:val="clear" w:color="auto" w:fill="E1DFDD"/>
    </w:rPr>
  </w:style>
  <w:style w:type="table" w:styleId="TableGrid">
    <w:name w:val="Table Grid"/>
    <w:basedOn w:val="TableNormal"/>
    <w:uiPriority w:val="39"/>
    <w:rsid w:val="0022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5F34"/>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985417"/>
    <w:pPr>
      <w:numPr>
        <w:ilvl w:val="1"/>
      </w:numPr>
      <w:spacing w:line="240" w:lineRule="auto"/>
      <w:ind w:firstLine="720"/>
    </w:pPr>
    <w:rPr>
      <w:rFonts w:ascii="Bell MT" w:eastAsiaTheme="minorEastAsia" w:hAnsi="Bell MT"/>
      <w:sz w:val="22"/>
    </w:rPr>
  </w:style>
  <w:style w:type="character" w:customStyle="1" w:styleId="SubtitleChar">
    <w:name w:val="Subtitle Char"/>
    <w:basedOn w:val="DefaultParagraphFont"/>
    <w:link w:val="Subtitle"/>
    <w:uiPriority w:val="11"/>
    <w:rsid w:val="00985417"/>
    <w:rPr>
      <w:rFonts w:ascii="Bell MT" w:eastAsiaTheme="minorEastAsia" w:hAnsi="Bell MT"/>
    </w:rPr>
  </w:style>
  <w:style w:type="paragraph" w:styleId="ListParagraph">
    <w:name w:val="List Paragraph"/>
    <w:basedOn w:val="Normal"/>
    <w:uiPriority w:val="34"/>
    <w:qFormat/>
    <w:rsid w:val="0028584A"/>
    <w:pPr>
      <w:ind w:left="720" w:hanging="720"/>
      <w:contextualSpacing/>
    </w:pPr>
  </w:style>
  <w:style w:type="paragraph" w:styleId="NoSpacing">
    <w:name w:val="No Spacing"/>
    <w:uiPriority w:val="1"/>
    <w:qFormat/>
    <w:rsid w:val="002D3CC0"/>
    <w:pPr>
      <w:spacing w:after="0" w:line="240" w:lineRule="auto"/>
      <w:ind w:firstLine="720"/>
      <w:jc w:val="both"/>
    </w:pPr>
    <w:rPr>
      <w:rFonts w:ascii="Times New Roman" w:hAnsi="Times New Roman"/>
      <w:sz w:val="28"/>
    </w:rPr>
  </w:style>
  <w:style w:type="character" w:styleId="PlaceholderText">
    <w:name w:val="Placeholder Text"/>
    <w:basedOn w:val="DefaultParagraphFont"/>
    <w:uiPriority w:val="99"/>
    <w:semiHidden/>
    <w:rsid w:val="003000F7"/>
    <w:rPr>
      <w:color w:val="666666"/>
    </w:rPr>
  </w:style>
  <w:style w:type="character" w:styleId="UnresolvedMention">
    <w:name w:val="Unresolved Mention"/>
    <w:basedOn w:val="DefaultParagraphFont"/>
    <w:uiPriority w:val="99"/>
    <w:semiHidden/>
    <w:unhideWhenUsed/>
    <w:rsid w:val="0002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5688">
      <w:bodyDiv w:val="1"/>
      <w:marLeft w:val="0"/>
      <w:marRight w:val="0"/>
      <w:marTop w:val="0"/>
      <w:marBottom w:val="0"/>
      <w:divBdr>
        <w:top w:val="none" w:sz="0" w:space="0" w:color="auto"/>
        <w:left w:val="none" w:sz="0" w:space="0" w:color="auto"/>
        <w:bottom w:val="none" w:sz="0" w:space="0" w:color="auto"/>
        <w:right w:val="none" w:sz="0" w:space="0" w:color="auto"/>
      </w:divBdr>
    </w:div>
    <w:div w:id="186337131">
      <w:bodyDiv w:val="1"/>
      <w:marLeft w:val="0"/>
      <w:marRight w:val="0"/>
      <w:marTop w:val="0"/>
      <w:marBottom w:val="0"/>
      <w:divBdr>
        <w:top w:val="none" w:sz="0" w:space="0" w:color="auto"/>
        <w:left w:val="none" w:sz="0" w:space="0" w:color="auto"/>
        <w:bottom w:val="none" w:sz="0" w:space="0" w:color="auto"/>
        <w:right w:val="none" w:sz="0" w:space="0" w:color="auto"/>
      </w:divBdr>
    </w:div>
    <w:div w:id="195626548">
      <w:bodyDiv w:val="1"/>
      <w:marLeft w:val="0"/>
      <w:marRight w:val="0"/>
      <w:marTop w:val="0"/>
      <w:marBottom w:val="0"/>
      <w:divBdr>
        <w:top w:val="none" w:sz="0" w:space="0" w:color="auto"/>
        <w:left w:val="none" w:sz="0" w:space="0" w:color="auto"/>
        <w:bottom w:val="none" w:sz="0" w:space="0" w:color="auto"/>
        <w:right w:val="none" w:sz="0" w:space="0" w:color="auto"/>
      </w:divBdr>
    </w:div>
    <w:div w:id="536626678">
      <w:bodyDiv w:val="1"/>
      <w:marLeft w:val="0"/>
      <w:marRight w:val="0"/>
      <w:marTop w:val="0"/>
      <w:marBottom w:val="0"/>
      <w:divBdr>
        <w:top w:val="none" w:sz="0" w:space="0" w:color="auto"/>
        <w:left w:val="none" w:sz="0" w:space="0" w:color="auto"/>
        <w:bottom w:val="none" w:sz="0" w:space="0" w:color="auto"/>
        <w:right w:val="none" w:sz="0" w:space="0" w:color="auto"/>
      </w:divBdr>
    </w:div>
    <w:div w:id="556546976">
      <w:bodyDiv w:val="1"/>
      <w:marLeft w:val="0"/>
      <w:marRight w:val="0"/>
      <w:marTop w:val="0"/>
      <w:marBottom w:val="0"/>
      <w:divBdr>
        <w:top w:val="none" w:sz="0" w:space="0" w:color="auto"/>
        <w:left w:val="none" w:sz="0" w:space="0" w:color="auto"/>
        <w:bottom w:val="none" w:sz="0" w:space="0" w:color="auto"/>
        <w:right w:val="none" w:sz="0" w:space="0" w:color="auto"/>
      </w:divBdr>
    </w:div>
    <w:div w:id="791049135">
      <w:bodyDiv w:val="1"/>
      <w:marLeft w:val="0"/>
      <w:marRight w:val="0"/>
      <w:marTop w:val="0"/>
      <w:marBottom w:val="0"/>
      <w:divBdr>
        <w:top w:val="none" w:sz="0" w:space="0" w:color="auto"/>
        <w:left w:val="none" w:sz="0" w:space="0" w:color="auto"/>
        <w:bottom w:val="none" w:sz="0" w:space="0" w:color="auto"/>
        <w:right w:val="none" w:sz="0" w:space="0" w:color="auto"/>
      </w:divBdr>
    </w:div>
    <w:div w:id="901527603">
      <w:bodyDiv w:val="1"/>
      <w:marLeft w:val="0"/>
      <w:marRight w:val="0"/>
      <w:marTop w:val="0"/>
      <w:marBottom w:val="0"/>
      <w:divBdr>
        <w:top w:val="none" w:sz="0" w:space="0" w:color="auto"/>
        <w:left w:val="none" w:sz="0" w:space="0" w:color="auto"/>
        <w:bottom w:val="none" w:sz="0" w:space="0" w:color="auto"/>
        <w:right w:val="none" w:sz="0" w:space="0" w:color="auto"/>
      </w:divBdr>
    </w:div>
    <w:div w:id="945961275">
      <w:bodyDiv w:val="1"/>
      <w:marLeft w:val="0"/>
      <w:marRight w:val="0"/>
      <w:marTop w:val="0"/>
      <w:marBottom w:val="0"/>
      <w:divBdr>
        <w:top w:val="none" w:sz="0" w:space="0" w:color="auto"/>
        <w:left w:val="none" w:sz="0" w:space="0" w:color="auto"/>
        <w:bottom w:val="none" w:sz="0" w:space="0" w:color="auto"/>
        <w:right w:val="none" w:sz="0" w:space="0" w:color="auto"/>
      </w:divBdr>
    </w:div>
    <w:div w:id="1073360205">
      <w:bodyDiv w:val="1"/>
      <w:marLeft w:val="0"/>
      <w:marRight w:val="0"/>
      <w:marTop w:val="0"/>
      <w:marBottom w:val="0"/>
      <w:divBdr>
        <w:top w:val="none" w:sz="0" w:space="0" w:color="auto"/>
        <w:left w:val="none" w:sz="0" w:space="0" w:color="auto"/>
        <w:bottom w:val="none" w:sz="0" w:space="0" w:color="auto"/>
        <w:right w:val="none" w:sz="0" w:space="0" w:color="auto"/>
      </w:divBdr>
    </w:div>
    <w:div w:id="1228151632">
      <w:bodyDiv w:val="1"/>
      <w:marLeft w:val="0"/>
      <w:marRight w:val="0"/>
      <w:marTop w:val="0"/>
      <w:marBottom w:val="0"/>
      <w:divBdr>
        <w:top w:val="none" w:sz="0" w:space="0" w:color="auto"/>
        <w:left w:val="none" w:sz="0" w:space="0" w:color="auto"/>
        <w:bottom w:val="none" w:sz="0" w:space="0" w:color="auto"/>
        <w:right w:val="none" w:sz="0" w:space="0" w:color="auto"/>
      </w:divBdr>
    </w:div>
    <w:div w:id="1335182857">
      <w:bodyDiv w:val="1"/>
      <w:marLeft w:val="0"/>
      <w:marRight w:val="0"/>
      <w:marTop w:val="0"/>
      <w:marBottom w:val="0"/>
      <w:divBdr>
        <w:top w:val="none" w:sz="0" w:space="0" w:color="auto"/>
        <w:left w:val="none" w:sz="0" w:space="0" w:color="auto"/>
        <w:bottom w:val="none" w:sz="0" w:space="0" w:color="auto"/>
        <w:right w:val="none" w:sz="0" w:space="0" w:color="auto"/>
      </w:divBdr>
    </w:div>
    <w:div w:id="1414204849">
      <w:bodyDiv w:val="1"/>
      <w:marLeft w:val="0"/>
      <w:marRight w:val="0"/>
      <w:marTop w:val="0"/>
      <w:marBottom w:val="0"/>
      <w:divBdr>
        <w:top w:val="none" w:sz="0" w:space="0" w:color="auto"/>
        <w:left w:val="none" w:sz="0" w:space="0" w:color="auto"/>
        <w:bottom w:val="none" w:sz="0" w:space="0" w:color="auto"/>
        <w:right w:val="none" w:sz="0" w:space="0" w:color="auto"/>
      </w:divBdr>
    </w:div>
    <w:div w:id="1445728334">
      <w:bodyDiv w:val="1"/>
      <w:marLeft w:val="0"/>
      <w:marRight w:val="0"/>
      <w:marTop w:val="0"/>
      <w:marBottom w:val="0"/>
      <w:divBdr>
        <w:top w:val="none" w:sz="0" w:space="0" w:color="auto"/>
        <w:left w:val="none" w:sz="0" w:space="0" w:color="auto"/>
        <w:bottom w:val="none" w:sz="0" w:space="0" w:color="auto"/>
        <w:right w:val="none" w:sz="0" w:space="0" w:color="auto"/>
      </w:divBdr>
    </w:div>
    <w:div w:id="1446464639">
      <w:bodyDiv w:val="1"/>
      <w:marLeft w:val="0"/>
      <w:marRight w:val="0"/>
      <w:marTop w:val="0"/>
      <w:marBottom w:val="0"/>
      <w:divBdr>
        <w:top w:val="none" w:sz="0" w:space="0" w:color="auto"/>
        <w:left w:val="none" w:sz="0" w:space="0" w:color="auto"/>
        <w:bottom w:val="none" w:sz="0" w:space="0" w:color="auto"/>
        <w:right w:val="none" w:sz="0" w:space="0" w:color="auto"/>
      </w:divBdr>
    </w:div>
    <w:div w:id="1593974872">
      <w:bodyDiv w:val="1"/>
      <w:marLeft w:val="0"/>
      <w:marRight w:val="0"/>
      <w:marTop w:val="0"/>
      <w:marBottom w:val="0"/>
      <w:divBdr>
        <w:top w:val="none" w:sz="0" w:space="0" w:color="auto"/>
        <w:left w:val="none" w:sz="0" w:space="0" w:color="auto"/>
        <w:bottom w:val="none" w:sz="0" w:space="0" w:color="auto"/>
        <w:right w:val="none" w:sz="0" w:space="0" w:color="auto"/>
      </w:divBdr>
    </w:div>
    <w:div w:id="1621492419">
      <w:bodyDiv w:val="1"/>
      <w:marLeft w:val="0"/>
      <w:marRight w:val="0"/>
      <w:marTop w:val="0"/>
      <w:marBottom w:val="0"/>
      <w:divBdr>
        <w:top w:val="none" w:sz="0" w:space="0" w:color="auto"/>
        <w:left w:val="none" w:sz="0" w:space="0" w:color="auto"/>
        <w:bottom w:val="none" w:sz="0" w:space="0" w:color="auto"/>
        <w:right w:val="none" w:sz="0" w:space="0" w:color="auto"/>
      </w:divBdr>
    </w:div>
    <w:div w:id="1766270104">
      <w:bodyDiv w:val="1"/>
      <w:marLeft w:val="0"/>
      <w:marRight w:val="0"/>
      <w:marTop w:val="0"/>
      <w:marBottom w:val="0"/>
      <w:divBdr>
        <w:top w:val="none" w:sz="0" w:space="0" w:color="auto"/>
        <w:left w:val="none" w:sz="0" w:space="0" w:color="auto"/>
        <w:bottom w:val="none" w:sz="0" w:space="0" w:color="auto"/>
        <w:right w:val="none" w:sz="0" w:space="0" w:color="auto"/>
      </w:divBdr>
    </w:div>
    <w:div w:id="1938518586">
      <w:bodyDiv w:val="1"/>
      <w:marLeft w:val="0"/>
      <w:marRight w:val="0"/>
      <w:marTop w:val="0"/>
      <w:marBottom w:val="0"/>
      <w:divBdr>
        <w:top w:val="none" w:sz="0" w:space="0" w:color="auto"/>
        <w:left w:val="none" w:sz="0" w:space="0" w:color="auto"/>
        <w:bottom w:val="none" w:sz="0" w:space="0" w:color="auto"/>
        <w:right w:val="none" w:sz="0" w:space="0" w:color="auto"/>
      </w:divBdr>
    </w:div>
    <w:div w:id="2114471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aopen.com/journal/ferd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ce/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70093-1881-4061-812A-999716E4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5093</Words>
  <Characters>29032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Slim 3</cp:lastModifiedBy>
  <cp:revision>8</cp:revision>
  <cp:lastPrinted>2025-10-24T07:06:00Z</cp:lastPrinted>
  <dcterms:created xsi:type="dcterms:W3CDTF">2025-07-09T04:49:00Z</dcterms:created>
  <dcterms:modified xsi:type="dcterms:W3CDTF">2025-10-24T07:06:00Z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ed45963d-d0ea-49ac-9fb7-0597823da466</vt:lpwstr>
  </property>
</Properties>
</file>